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59F453CD" w:rsidR="00B64AB4" w:rsidRPr="00D75B34" w:rsidRDefault="00617192" w:rsidP="00B64AB4">
      <w:pPr>
        <w:spacing w:line="276" w:lineRule="auto"/>
        <w:rPr>
          <w:rFonts w:asciiTheme="majorHAnsi" w:hAnsiTheme="majorHAnsi" w:cs="Calibri Light (Headings)"/>
          <w:bCs/>
          <w:color w:val="000000" w:themeColor="text1"/>
          <w:spacing w:val="20"/>
          <w:sz w:val="16"/>
          <w:szCs w:val="16"/>
        </w:rPr>
      </w:pPr>
      <w:r w:rsidRPr="00D75B34">
        <w:rPr>
          <w:rFonts w:asciiTheme="majorHAnsi" w:hAnsiTheme="majorHAnsi" w:cs="Calibri Light (Headings)"/>
          <w:bCs/>
          <w:color w:val="000000" w:themeColor="text1"/>
          <w:spacing w:val="20"/>
          <w:sz w:val="46"/>
          <w:szCs w:val="46"/>
        </w:rPr>
        <w:t>WITHDRAW</w:t>
      </w:r>
      <w:r w:rsidR="002F7D4F" w:rsidRPr="00D75B34">
        <w:rPr>
          <w:rFonts w:asciiTheme="majorHAnsi" w:hAnsiTheme="majorHAnsi" w:cs="Calibri Light (Headings)"/>
          <w:bCs/>
          <w:color w:val="000000" w:themeColor="text1"/>
          <w:spacing w:val="20"/>
          <w:sz w:val="46"/>
          <w:szCs w:val="46"/>
        </w:rPr>
        <w:t>A</w:t>
      </w:r>
      <w:r w:rsidRPr="00D75B34">
        <w:rPr>
          <w:rFonts w:asciiTheme="majorHAnsi" w:hAnsiTheme="majorHAnsi" w:cs="Calibri Light (Headings)"/>
          <w:bCs/>
          <w:color w:val="000000" w:themeColor="text1"/>
          <w:spacing w:val="20"/>
          <w:sz w:val="46"/>
          <w:szCs w:val="46"/>
        </w:rPr>
        <w:t>L OF A CHILD POLICY</w:t>
      </w:r>
      <w:r w:rsidR="00B64AB4" w:rsidRPr="00D75B34">
        <w:rPr>
          <w:rFonts w:asciiTheme="majorHAnsi" w:hAnsiTheme="majorHAnsi" w:cs="Calibri Light (Headings)"/>
          <w:bCs/>
          <w:color w:val="000000" w:themeColor="text1"/>
          <w:spacing w:val="20"/>
        </w:rPr>
        <w:br/>
      </w:r>
    </w:p>
    <w:p w14:paraId="3B9709F6" w14:textId="77777777" w:rsidR="00D75B34" w:rsidRPr="00D75B34" w:rsidRDefault="00D75B34" w:rsidP="00D75B34">
      <w:pPr>
        <w:spacing w:after="0" w:line="360" w:lineRule="auto"/>
        <w:rPr>
          <w:rFonts w:asciiTheme="majorHAnsi" w:hAnsiTheme="majorHAnsi"/>
          <w:color w:val="000000" w:themeColor="text1"/>
        </w:rPr>
      </w:pPr>
      <w:r w:rsidRPr="00D75B34">
        <w:rPr>
          <w:rFonts w:asciiTheme="majorHAnsi" w:hAnsiTheme="majorHAnsi"/>
          <w:color w:val="000000" w:themeColor="text1"/>
        </w:rPr>
        <w:t xml:space="preserve">To enable our Service to meet legal requirements, fill positions and maintain financial viability, families are required to provide notice when withdrawing their child from the Service. </w:t>
      </w:r>
    </w:p>
    <w:p w14:paraId="2C660845" w14:textId="77777777" w:rsidR="00D75B34" w:rsidRPr="00D75B34" w:rsidRDefault="00D75B34" w:rsidP="00D75B34">
      <w:pPr>
        <w:spacing w:after="0" w:line="360" w:lineRule="auto"/>
        <w:rPr>
          <w:rFonts w:asciiTheme="majorHAnsi" w:hAnsiTheme="majorHAnsi"/>
          <w:iCs/>
          <w:color w:val="000000" w:themeColor="text1"/>
          <w:lang w:val="en-US"/>
        </w:rPr>
      </w:pPr>
    </w:p>
    <w:p w14:paraId="61581A1A" w14:textId="77777777" w:rsidR="00D75B34" w:rsidRPr="00D75B34" w:rsidRDefault="00D75B34" w:rsidP="00D75B34">
      <w:pPr>
        <w:spacing w:line="240" w:lineRule="auto"/>
        <w:rPr>
          <w:rFonts w:cs="Arial"/>
          <w:color w:val="000000" w:themeColor="text1"/>
          <w:sz w:val="24"/>
          <w:szCs w:val="24"/>
          <w:lang w:val="en-US"/>
        </w:rPr>
      </w:pPr>
      <w:r w:rsidRPr="00D75B34">
        <w:rPr>
          <w:rFonts w:cs="Arial"/>
          <w:color w:val="000000" w:themeColor="text1"/>
          <w:sz w:val="24"/>
          <w:szCs w:val="24"/>
          <w:lang w:val="en-US"/>
        </w:rPr>
        <w:t>NATIONAL QUALITY STANDARD (NQS)</w:t>
      </w:r>
    </w:p>
    <w:tbl>
      <w:tblPr>
        <w:tblStyle w:val="PlainTable11"/>
        <w:tblW w:w="0" w:type="auto"/>
        <w:tblLook w:val="04A0" w:firstRow="1" w:lastRow="0" w:firstColumn="1" w:lastColumn="0" w:noHBand="0" w:noVBand="1"/>
      </w:tblPr>
      <w:tblGrid>
        <w:gridCol w:w="809"/>
        <w:gridCol w:w="2526"/>
        <w:gridCol w:w="5681"/>
      </w:tblGrid>
      <w:tr w:rsidR="00D75B34" w:rsidRPr="00D75B34" w14:paraId="4FE20148" w14:textId="77777777" w:rsidTr="00EE642B">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auto"/>
              <w:left w:val="single" w:sz="4" w:space="0" w:color="auto"/>
              <w:right w:val="single" w:sz="4" w:space="0" w:color="auto"/>
            </w:tcBorders>
            <w:shd w:val="pct10" w:color="auto" w:fill="auto"/>
            <w:vAlign w:val="center"/>
          </w:tcPr>
          <w:p w14:paraId="0BEE4BE3" w14:textId="77777777" w:rsidR="00D75B34" w:rsidRPr="00D75B34" w:rsidRDefault="00D75B34" w:rsidP="00EE642B">
            <w:pPr>
              <w:rPr>
                <w:rFonts w:cstheme="minorHAnsi"/>
                <w:b w:val="0"/>
                <w:color w:val="000000" w:themeColor="text1"/>
              </w:rPr>
            </w:pPr>
            <w:r w:rsidRPr="00D75B34">
              <w:rPr>
                <w:rFonts w:cstheme="minorHAnsi"/>
                <w:b w:val="0"/>
                <w:color w:val="000000" w:themeColor="text1"/>
                <w:szCs w:val="21"/>
              </w:rPr>
              <w:t>QUALITY AREA 7: GOVERNANCE AND LEADERSHIP</w:t>
            </w:r>
          </w:p>
        </w:tc>
      </w:tr>
      <w:tr w:rsidR="00D75B34" w:rsidRPr="00D75B34" w14:paraId="437DF960" w14:textId="77777777" w:rsidTr="00EE642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C57FB61" w14:textId="77777777" w:rsidR="00D75B34" w:rsidRPr="00D75B34" w:rsidRDefault="00D75B34" w:rsidP="00EE642B">
            <w:pPr>
              <w:jc w:val="center"/>
              <w:rPr>
                <w:rFonts w:asciiTheme="majorHAnsi" w:hAnsiTheme="majorHAnsi"/>
                <w:b w:val="0"/>
                <w:color w:val="000000" w:themeColor="text1"/>
              </w:rPr>
            </w:pPr>
            <w:r w:rsidRPr="00D75B34">
              <w:rPr>
                <w:rFonts w:asciiTheme="majorHAnsi" w:hAnsiTheme="majorHAnsi"/>
                <w:b w:val="0"/>
                <w:color w:val="000000" w:themeColor="text1"/>
              </w:rPr>
              <w:t>7.1</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46537202" w14:textId="77777777" w:rsidR="00D75B34" w:rsidRPr="00D75B34" w:rsidRDefault="00D75B34"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D75B34">
              <w:rPr>
                <w:rFonts w:asciiTheme="majorHAnsi" w:hAnsiTheme="majorHAnsi"/>
                <w:color w:val="000000" w:themeColor="text1"/>
              </w:rPr>
              <w:t xml:space="preserve">Governance </w:t>
            </w:r>
          </w:p>
        </w:tc>
        <w:tc>
          <w:tcPr>
            <w:tcW w:w="5681" w:type="dxa"/>
            <w:tcBorders>
              <w:top w:val="single" w:sz="4" w:space="0" w:color="auto"/>
              <w:left w:val="single" w:sz="4" w:space="0" w:color="auto"/>
              <w:bottom w:val="single" w:sz="4" w:space="0" w:color="auto"/>
              <w:right w:val="single" w:sz="4" w:space="0" w:color="auto"/>
            </w:tcBorders>
            <w:shd w:val="clear" w:color="auto" w:fill="auto"/>
            <w:vAlign w:val="center"/>
          </w:tcPr>
          <w:p w14:paraId="0A49924B" w14:textId="77777777" w:rsidR="00D75B34" w:rsidRPr="00D75B34" w:rsidRDefault="00D75B34"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D75B34">
              <w:rPr>
                <w:rFonts w:asciiTheme="majorHAnsi" w:hAnsiTheme="majorHAnsi"/>
                <w:color w:val="000000" w:themeColor="text1"/>
              </w:rPr>
              <w:t xml:space="preserve">Governance supports the operation of a quality service. </w:t>
            </w:r>
          </w:p>
        </w:tc>
      </w:tr>
      <w:tr w:rsidR="00D75B34" w:rsidRPr="00D75B34" w14:paraId="7E5F4A16" w14:textId="77777777" w:rsidTr="00EE642B">
        <w:trPr>
          <w:trHeight w:val="838"/>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49F35" w14:textId="77777777" w:rsidR="00D75B34" w:rsidRPr="00D75B34" w:rsidRDefault="00D75B34" w:rsidP="00EE642B">
            <w:pPr>
              <w:jc w:val="center"/>
              <w:rPr>
                <w:rFonts w:asciiTheme="majorHAnsi" w:hAnsiTheme="majorHAnsi"/>
                <w:b w:val="0"/>
                <w:color w:val="000000" w:themeColor="text1"/>
              </w:rPr>
            </w:pPr>
            <w:r w:rsidRPr="00D75B34">
              <w:rPr>
                <w:rFonts w:asciiTheme="majorHAnsi" w:hAnsiTheme="majorHAnsi"/>
                <w:b w:val="0"/>
                <w:color w:val="000000" w:themeColor="text1"/>
              </w:rPr>
              <w:t>7.1.1</w:t>
            </w:r>
          </w:p>
        </w:tc>
        <w:tc>
          <w:tcPr>
            <w:tcW w:w="2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EC8B19" w14:textId="77777777" w:rsidR="00D75B34" w:rsidRPr="00D75B34" w:rsidRDefault="00D75B34"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D75B34">
              <w:rPr>
                <w:rFonts w:asciiTheme="majorHAnsi" w:hAnsiTheme="majorHAnsi"/>
                <w:color w:val="000000" w:themeColor="text1"/>
              </w:rPr>
              <w:t xml:space="preserve">Service philosophy and purposes </w:t>
            </w:r>
          </w:p>
        </w:tc>
        <w:tc>
          <w:tcPr>
            <w:tcW w:w="5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A10591" w14:textId="77777777" w:rsidR="00D75B34" w:rsidRPr="00D75B34" w:rsidRDefault="00D75B34"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D75B34">
              <w:rPr>
                <w:rFonts w:asciiTheme="majorHAnsi" w:hAnsiTheme="majorHAnsi"/>
                <w:color w:val="000000" w:themeColor="text1"/>
              </w:rPr>
              <w:t>A statement of philosophy guides all aspects of the service’s operations.</w:t>
            </w:r>
          </w:p>
        </w:tc>
      </w:tr>
      <w:tr w:rsidR="00D75B34" w:rsidRPr="00D75B34" w14:paraId="069A626A" w14:textId="77777777" w:rsidTr="00EE642B">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8AA39F6" w14:textId="77777777" w:rsidR="00D75B34" w:rsidRPr="00D75B34" w:rsidRDefault="00D75B34" w:rsidP="00EE642B">
            <w:pPr>
              <w:jc w:val="center"/>
              <w:rPr>
                <w:rFonts w:asciiTheme="majorHAnsi" w:hAnsiTheme="majorHAnsi"/>
                <w:b w:val="0"/>
                <w:color w:val="000000" w:themeColor="text1"/>
              </w:rPr>
            </w:pPr>
            <w:r w:rsidRPr="00D75B34">
              <w:rPr>
                <w:rFonts w:asciiTheme="majorHAnsi" w:hAnsiTheme="majorHAnsi"/>
                <w:b w:val="0"/>
                <w:color w:val="000000" w:themeColor="text1"/>
              </w:rPr>
              <w:t>7.1.2</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257E5189" w14:textId="77777777" w:rsidR="00D75B34" w:rsidRPr="00D75B34" w:rsidRDefault="00D75B34"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D75B34">
              <w:rPr>
                <w:rFonts w:asciiTheme="majorHAnsi" w:hAnsiTheme="majorHAnsi"/>
                <w:color w:val="000000" w:themeColor="text1"/>
              </w:rPr>
              <w:t xml:space="preserve">Management Systems </w:t>
            </w:r>
          </w:p>
        </w:tc>
        <w:tc>
          <w:tcPr>
            <w:tcW w:w="5681" w:type="dxa"/>
            <w:tcBorders>
              <w:top w:val="single" w:sz="4" w:space="0" w:color="auto"/>
              <w:left w:val="single" w:sz="4" w:space="0" w:color="auto"/>
              <w:bottom w:val="single" w:sz="4" w:space="0" w:color="auto"/>
              <w:right w:val="single" w:sz="4" w:space="0" w:color="auto"/>
            </w:tcBorders>
            <w:shd w:val="clear" w:color="auto" w:fill="auto"/>
            <w:vAlign w:val="center"/>
          </w:tcPr>
          <w:p w14:paraId="7A0AACF6" w14:textId="77777777" w:rsidR="00D75B34" w:rsidRPr="00D75B34" w:rsidRDefault="00D75B34"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D75B34">
              <w:rPr>
                <w:rFonts w:asciiTheme="majorHAnsi" w:hAnsiTheme="majorHAnsi"/>
                <w:color w:val="000000" w:themeColor="text1"/>
              </w:rPr>
              <w:t xml:space="preserve">Systems are in place to manage risk and enable the effective management and operation of a quality service. </w:t>
            </w:r>
          </w:p>
        </w:tc>
      </w:tr>
      <w:tr w:rsidR="00D75B34" w:rsidRPr="00D75B34" w14:paraId="5B10C2B6" w14:textId="77777777" w:rsidTr="00EE642B">
        <w:trPr>
          <w:trHeight w:val="973"/>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E3886" w14:textId="77777777" w:rsidR="00D75B34" w:rsidRPr="00D75B34" w:rsidRDefault="00D75B34" w:rsidP="00EE642B">
            <w:pPr>
              <w:jc w:val="center"/>
              <w:rPr>
                <w:rFonts w:asciiTheme="majorHAnsi" w:hAnsiTheme="majorHAnsi"/>
                <w:b w:val="0"/>
                <w:color w:val="000000" w:themeColor="text1"/>
              </w:rPr>
            </w:pPr>
            <w:r w:rsidRPr="00D75B34">
              <w:rPr>
                <w:rFonts w:asciiTheme="majorHAnsi" w:hAnsiTheme="majorHAnsi"/>
                <w:b w:val="0"/>
                <w:color w:val="000000" w:themeColor="text1"/>
              </w:rPr>
              <w:t>7.1.3</w:t>
            </w:r>
          </w:p>
        </w:tc>
        <w:tc>
          <w:tcPr>
            <w:tcW w:w="2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B5979" w14:textId="77777777" w:rsidR="00D75B34" w:rsidRPr="00D75B34" w:rsidRDefault="00D75B34"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D75B34">
              <w:rPr>
                <w:rFonts w:asciiTheme="majorHAnsi" w:hAnsiTheme="majorHAnsi"/>
                <w:color w:val="000000" w:themeColor="text1"/>
              </w:rPr>
              <w:t xml:space="preserve">Roles and Responsibilities </w:t>
            </w:r>
          </w:p>
        </w:tc>
        <w:tc>
          <w:tcPr>
            <w:tcW w:w="5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F46D45" w14:textId="77777777" w:rsidR="00D75B34" w:rsidRPr="00D75B34" w:rsidRDefault="00D75B34"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D75B34">
              <w:rPr>
                <w:rFonts w:asciiTheme="majorHAnsi" w:hAnsiTheme="majorHAnsi"/>
                <w:color w:val="000000" w:themeColor="text1"/>
              </w:rPr>
              <w:t xml:space="preserve">Roles and responsibilities are clearly defined and understood and support effective decision making and operation of the service. </w:t>
            </w:r>
          </w:p>
        </w:tc>
      </w:tr>
    </w:tbl>
    <w:p w14:paraId="2D0AA75F" w14:textId="77777777" w:rsidR="00D75B34" w:rsidRPr="00D75B34" w:rsidRDefault="00D75B34" w:rsidP="00D75B34">
      <w:pPr>
        <w:spacing w:line="360" w:lineRule="auto"/>
        <w:rPr>
          <w:rFonts w:cstheme="minorHAnsi"/>
          <w:color w:val="000000" w:themeColor="text1"/>
          <w:lang w:val="en-US"/>
        </w:rPr>
      </w:pPr>
    </w:p>
    <w:tbl>
      <w:tblPr>
        <w:tblStyle w:val="TableGrid"/>
        <w:tblW w:w="9180" w:type="dxa"/>
        <w:tblLook w:val="04A0" w:firstRow="1" w:lastRow="0" w:firstColumn="1" w:lastColumn="0" w:noHBand="0" w:noVBand="1"/>
      </w:tblPr>
      <w:tblGrid>
        <w:gridCol w:w="1242"/>
        <w:gridCol w:w="7938"/>
      </w:tblGrid>
      <w:tr w:rsidR="00D75B34" w:rsidRPr="00D75B34" w14:paraId="48D859AA" w14:textId="77777777" w:rsidTr="00EE642B">
        <w:trPr>
          <w:trHeight w:val="510"/>
        </w:trPr>
        <w:tc>
          <w:tcPr>
            <w:tcW w:w="9180" w:type="dxa"/>
            <w:gridSpan w:val="2"/>
            <w:shd w:val="pct10" w:color="auto" w:fill="auto"/>
            <w:vAlign w:val="center"/>
          </w:tcPr>
          <w:p w14:paraId="0CC3A688" w14:textId="77777777" w:rsidR="00D75B34" w:rsidRPr="00D75B34" w:rsidRDefault="00D75B34" w:rsidP="00EE642B">
            <w:pPr>
              <w:rPr>
                <w:rFonts w:asciiTheme="majorHAnsi" w:hAnsiTheme="majorHAnsi"/>
                <w:color w:val="000000" w:themeColor="text1"/>
              </w:rPr>
            </w:pPr>
            <w:r w:rsidRPr="00D75B34">
              <w:rPr>
                <w:rFonts w:cstheme="minorHAnsi"/>
                <w:color w:val="000000" w:themeColor="text1"/>
                <w:lang w:val="en-US"/>
              </w:rPr>
              <w:t>EDUCATION AND CARE SERVICES NATIONAL REGULATIONS</w:t>
            </w:r>
          </w:p>
        </w:tc>
      </w:tr>
      <w:tr w:rsidR="00D75B34" w:rsidRPr="00D75B34" w14:paraId="52433113" w14:textId="77777777" w:rsidTr="00EE642B">
        <w:trPr>
          <w:trHeight w:val="510"/>
        </w:trPr>
        <w:tc>
          <w:tcPr>
            <w:tcW w:w="1242" w:type="dxa"/>
            <w:tcBorders>
              <w:bottom w:val="single" w:sz="4" w:space="0" w:color="auto"/>
            </w:tcBorders>
            <w:vAlign w:val="center"/>
          </w:tcPr>
          <w:p w14:paraId="2EF4B9AF" w14:textId="77777777" w:rsidR="00D75B34" w:rsidRPr="00D75B34" w:rsidRDefault="00D75B34" w:rsidP="00EE642B">
            <w:pPr>
              <w:jc w:val="center"/>
              <w:rPr>
                <w:rFonts w:asciiTheme="majorHAnsi" w:hAnsiTheme="majorHAnsi" w:cstheme="majorHAnsi"/>
                <w:color w:val="000000" w:themeColor="text1"/>
              </w:rPr>
            </w:pPr>
            <w:r w:rsidRPr="00D75B34">
              <w:rPr>
                <w:rFonts w:asciiTheme="majorHAnsi" w:hAnsiTheme="majorHAnsi"/>
                <w:color w:val="000000" w:themeColor="text1"/>
              </w:rPr>
              <w:t>160</w:t>
            </w:r>
          </w:p>
        </w:tc>
        <w:tc>
          <w:tcPr>
            <w:tcW w:w="7938" w:type="dxa"/>
            <w:tcBorders>
              <w:bottom w:val="single" w:sz="4" w:space="0" w:color="auto"/>
            </w:tcBorders>
            <w:vAlign w:val="center"/>
          </w:tcPr>
          <w:p w14:paraId="7D8429C4" w14:textId="77777777" w:rsidR="00D75B34" w:rsidRPr="00D75B34" w:rsidRDefault="00D75B34" w:rsidP="00EE642B">
            <w:pPr>
              <w:rPr>
                <w:rFonts w:asciiTheme="majorHAnsi" w:hAnsiTheme="majorHAnsi" w:cstheme="majorHAnsi"/>
                <w:bCs/>
                <w:color w:val="000000" w:themeColor="text1"/>
                <w:shd w:val="clear" w:color="auto" w:fill="FFFFFF"/>
              </w:rPr>
            </w:pPr>
            <w:r w:rsidRPr="00D75B34">
              <w:rPr>
                <w:rFonts w:asciiTheme="majorHAnsi" w:hAnsiTheme="majorHAnsi"/>
                <w:color w:val="000000" w:themeColor="text1"/>
              </w:rPr>
              <w:t>Child enrolment records to be kept by approved provider and family day care educator</w:t>
            </w:r>
          </w:p>
        </w:tc>
      </w:tr>
      <w:tr w:rsidR="00D75B34" w:rsidRPr="00D75B34" w14:paraId="5C046735" w14:textId="77777777" w:rsidTr="00EE642B">
        <w:trPr>
          <w:trHeight w:val="510"/>
        </w:trPr>
        <w:tc>
          <w:tcPr>
            <w:tcW w:w="1242" w:type="dxa"/>
            <w:shd w:val="pct5" w:color="auto" w:fill="auto"/>
            <w:vAlign w:val="center"/>
          </w:tcPr>
          <w:p w14:paraId="76BE7CE4" w14:textId="77777777" w:rsidR="00D75B34" w:rsidRPr="00D75B34" w:rsidRDefault="00D75B34" w:rsidP="00EE642B">
            <w:pPr>
              <w:jc w:val="center"/>
              <w:rPr>
                <w:rFonts w:asciiTheme="majorHAnsi" w:hAnsiTheme="majorHAnsi"/>
                <w:color w:val="000000" w:themeColor="text1"/>
              </w:rPr>
            </w:pPr>
            <w:r w:rsidRPr="00D75B34">
              <w:rPr>
                <w:rFonts w:asciiTheme="majorHAnsi" w:hAnsiTheme="majorHAnsi" w:cstheme="majorHAnsi"/>
                <w:color w:val="000000" w:themeColor="text1"/>
              </w:rPr>
              <w:t>168</w:t>
            </w:r>
          </w:p>
        </w:tc>
        <w:tc>
          <w:tcPr>
            <w:tcW w:w="7938" w:type="dxa"/>
            <w:shd w:val="pct5" w:color="auto" w:fill="auto"/>
            <w:vAlign w:val="center"/>
          </w:tcPr>
          <w:p w14:paraId="04CA329D" w14:textId="77777777" w:rsidR="00D75B34" w:rsidRPr="00D75B34" w:rsidRDefault="00D75B34" w:rsidP="00EE642B">
            <w:pPr>
              <w:rPr>
                <w:rFonts w:asciiTheme="majorHAnsi" w:hAnsiTheme="majorHAnsi"/>
                <w:b/>
                <w:color w:val="000000" w:themeColor="text1"/>
              </w:rPr>
            </w:pPr>
            <w:r w:rsidRPr="00D75B34">
              <w:rPr>
                <w:rFonts w:asciiTheme="majorHAnsi" w:hAnsiTheme="majorHAnsi" w:cstheme="majorHAnsi"/>
                <w:bCs/>
                <w:color w:val="000000" w:themeColor="text1"/>
                <w:shd w:val="clear" w:color="auto" w:fill="FFFFFF"/>
              </w:rPr>
              <w:t xml:space="preserve">Education and care services must have policies and procedures </w:t>
            </w:r>
          </w:p>
        </w:tc>
      </w:tr>
      <w:tr w:rsidR="00D75B34" w:rsidRPr="00D75B34" w14:paraId="037DD176" w14:textId="77777777" w:rsidTr="00EE642B">
        <w:trPr>
          <w:trHeight w:val="510"/>
        </w:trPr>
        <w:tc>
          <w:tcPr>
            <w:tcW w:w="1242" w:type="dxa"/>
            <w:tcBorders>
              <w:bottom w:val="single" w:sz="4" w:space="0" w:color="auto"/>
            </w:tcBorders>
            <w:shd w:val="clear" w:color="auto" w:fill="auto"/>
            <w:vAlign w:val="center"/>
          </w:tcPr>
          <w:p w14:paraId="2FF8429B" w14:textId="77777777" w:rsidR="00D75B34" w:rsidRPr="00D75B34" w:rsidRDefault="00D75B34" w:rsidP="00EE642B">
            <w:pPr>
              <w:jc w:val="center"/>
              <w:rPr>
                <w:rFonts w:asciiTheme="majorHAnsi" w:hAnsiTheme="majorHAnsi"/>
                <w:color w:val="000000" w:themeColor="text1"/>
              </w:rPr>
            </w:pPr>
            <w:r w:rsidRPr="00D75B34">
              <w:rPr>
                <w:rFonts w:asciiTheme="majorHAnsi" w:hAnsiTheme="majorHAnsi"/>
                <w:color w:val="000000" w:themeColor="text1"/>
              </w:rPr>
              <w:t>177</w:t>
            </w:r>
          </w:p>
        </w:tc>
        <w:tc>
          <w:tcPr>
            <w:tcW w:w="7938" w:type="dxa"/>
            <w:tcBorders>
              <w:bottom w:val="single" w:sz="4" w:space="0" w:color="auto"/>
            </w:tcBorders>
            <w:shd w:val="clear" w:color="auto" w:fill="auto"/>
            <w:vAlign w:val="center"/>
          </w:tcPr>
          <w:p w14:paraId="622012CB" w14:textId="77777777" w:rsidR="00D75B34" w:rsidRPr="00D75B34" w:rsidRDefault="00D75B34" w:rsidP="00EE642B">
            <w:pPr>
              <w:rPr>
                <w:rFonts w:asciiTheme="majorHAnsi" w:hAnsiTheme="majorHAnsi" w:cstheme="majorHAnsi"/>
                <w:bCs/>
                <w:color w:val="000000" w:themeColor="text1"/>
                <w:shd w:val="clear" w:color="auto" w:fill="FFFFFF"/>
              </w:rPr>
            </w:pPr>
            <w:r w:rsidRPr="00D75B34">
              <w:rPr>
                <w:rFonts w:asciiTheme="majorHAnsi" w:hAnsiTheme="majorHAnsi" w:cstheme="majorHAnsi"/>
                <w:bCs/>
                <w:color w:val="000000" w:themeColor="text1"/>
                <w:shd w:val="clear" w:color="auto" w:fill="FFFFFF"/>
              </w:rPr>
              <w:t>Prescribed enrolment and other documents to be kept by approved provider</w:t>
            </w:r>
          </w:p>
        </w:tc>
      </w:tr>
      <w:tr w:rsidR="00D75B34" w:rsidRPr="00D75B34" w14:paraId="24E54E9A" w14:textId="77777777" w:rsidTr="00EE642B">
        <w:trPr>
          <w:trHeight w:val="510"/>
        </w:trPr>
        <w:tc>
          <w:tcPr>
            <w:tcW w:w="1242" w:type="dxa"/>
            <w:shd w:val="pct5" w:color="auto" w:fill="auto"/>
            <w:vAlign w:val="center"/>
          </w:tcPr>
          <w:p w14:paraId="0CD95BEF" w14:textId="77777777" w:rsidR="00D75B34" w:rsidRPr="00D75B34" w:rsidRDefault="00D75B34" w:rsidP="00EE642B">
            <w:pPr>
              <w:jc w:val="center"/>
              <w:rPr>
                <w:rFonts w:asciiTheme="majorHAnsi" w:hAnsiTheme="majorHAnsi"/>
                <w:color w:val="000000" w:themeColor="text1"/>
              </w:rPr>
            </w:pPr>
            <w:r w:rsidRPr="00D75B34">
              <w:rPr>
                <w:rFonts w:asciiTheme="majorHAnsi" w:hAnsiTheme="majorHAnsi"/>
                <w:color w:val="000000" w:themeColor="text1"/>
              </w:rPr>
              <w:t>181</w:t>
            </w:r>
          </w:p>
        </w:tc>
        <w:tc>
          <w:tcPr>
            <w:tcW w:w="7938" w:type="dxa"/>
            <w:shd w:val="pct5" w:color="auto" w:fill="auto"/>
            <w:vAlign w:val="center"/>
          </w:tcPr>
          <w:p w14:paraId="09A89EEB" w14:textId="77777777" w:rsidR="00D75B34" w:rsidRPr="00D75B34" w:rsidRDefault="00D75B34" w:rsidP="00EE642B">
            <w:pPr>
              <w:rPr>
                <w:rFonts w:asciiTheme="majorHAnsi" w:hAnsiTheme="majorHAnsi"/>
                <w:color w:val="000000" w:themeColor="text1"/>
              </w:rPr>
            </w:pPr>
            <w:r w:rsidRPr="00D75B34">
              <w:rPr>
                <w:rFonts w:asciiTheme="majorHAnsi" w:hAnsiTheme="majorHAnsi" w:cstheme="majorHAnsi"/>
                <w:bCs/>
                <w:color w:val="000000" w:themeColor="text1"/>
                <w:shd w:val="clear" w:color="auto" w:fill="FFFFFF"/>
              </w:rPr>
              <w:t>Confidentiality of records kept by approved provider</w:t>
            </w:r>
          </w:p>
        </w:tc>
      </w:tr>
      <w:tr w:rsidR="00D75B34" w:rsidRPr="00D75B34" w14:paraId="21BAF1C2" w14:textId="77777777" w:rsidTr="00EE642B">
        <w:trPr>
          <w:trHeight w:val="510"/>
        </w:trPr>
        <w:tc>
          <w:tcPr>
            <w:tcW w:w="1242" w:type="dxa"/>
            <w:shd w:val="clear" w:color="auto" w:fill="auto"/>
            <w:vAlign w:val="center"/>
          </w:tcPr>
          <w:p w14:paraId="0C052A63" w14:textId="77777777" w:rsidR="00D75B34" w:rsidRPr="00D75B34" w:rsidRDefault="00D75B34" w:rsidP="00EE642B">
            <w:pPr>
              <w:jc w:val="center"/>
              <w:rPr>
                <w:rFonts w:asciiTheme="majorHAnsi" w:hAnsiTheme="majorHAnsi"/>
                <w:color w:val="000000" w:themeColor="text1"/>
              </w:rPr>
            </w:pPr>
            <w:r w:rsidRPr="00D75B34">
              <w:rPr>
                <w:rFonts w:asciiTheme="majorHAnsi" w:hAnsiTheme="majorHAnsi"/>
                <w:color w:val="000000" w:themeColor="text1"/>
              </w:rPr>
              <w:t>183</w:t>
            </w:r>
          </w:p>
        </w:tc>
        <w:tc>
          <w:tcPr>
            <w:tcW w:w="7938" w:type="dxa"/>
            <w:shd w:val="clear" w:color="auto" w:fill="auto"/>
            <w:vAlign w:val="center"/>
          </w:tcPr>
          <w:p w14:paraId="3D37D389" w14:textId="77777777" w:rsidR="00D75B34" w:rsidRPr="00D75B34" w:rsidRDefault="00D75B34" w:rsidP="00EE642B">
            <w:pPr>
              <w:rPr>
                <w:rFonts w:asciiTheme="majorHAnsi" w:hAnsiTheme="majorHAnsi" w:cstheme="majorHAnsi"/>
                <w:bCs/>
                <w:color w:val="000000" w:themeColor="text1"/>
                <w:shd w:val="clear" w:color="auto" w:fill="FFFFFF"/>
              </w:rPr>
            </w:pPr>
            <w:r w:rsidRPr="00D75B34">
              <w:rPr>
                <w:rFonts w:asciiTheme="majorHAnsi" w:hAnsiTheme="majorHAnsi" w:cstheme="majorHAnsi"/>
                <w:bCs/>
                <w:color w:val="000000" w:themeColor="text1"/>
                <w:shd w:val="clear" w:color="auto" w:fill="FFFFFF"/>
              </w:rPr>
              <w:t>Storage of records and other documents</w:t>
            </w:r>
          </w:p>
        </w:tc>
      </w:tr>
    </w:tbl>
    <w:p w14:paraId="1BD961CA" w14:textId="77777777" w:rsidR="00D75B34" w:rsidRPr="00D75B34" w:rsidRDefault="00D75B34" w:rsidP="00D75B34">
      <w:pPr>
        <w:spacing w:line="240" w:lineRule="auto"/>
        <w:rPr>
          <w:rFonts w:cs="Arial"/>
          <w:color w:val="000000" w:themeColor="text1"/>
          <w:sz w:val="24"/>
          <w:szCs w:val="24"/>
        </w:rPr>
      </w:pPr>
    </w:p>
    <w:p w14:paraId="7D8952B4" w14:textId="77777777" w:rsidR="00D75B34" w:rsidRPr="00D75B34" w:rsidRDefault="00D75B34" w:rsidP="00D75B34">
      <w:pPr>
        <w:rPr>
          <w:rFonts w:cs="Arial"/>
          <w:color w:val="000000" w:themeColor="text1"/>
        </w:rPr>
      </w:pPr>
      <w:r w:rsidRPr="00D75B34">
        <w:rPr>
          <w:color w:val="000000" w:themeColor="text1"/>
          <w:lang w:val="en-US"/>
        </w:rPr>
        <w:t xml:space="preserve">RELATED LEGISLATION </w:t>
      </w:r>
    </w:p>
    <w:tbl>
      <w:tblPr>
        <w:tblStyle w:val="PlainTable11"/>
        <w:tblW w:w="0" w:type="auto"/>
        <w:tblLook w:val="04A0" w:firstRow="1" w:lastRow="0" w:firstColumn="1" w:lastColumn="0" w:noHBand="0" w:noVBand="1"/>
      </w:tblPr>
      <w:tblGrid>
        <w:gridCol w:w="4508"/>
        <w:gridCol w:w="4508"/>
      </w:tblGrid>
      <w:tr w:rsidR="00D75B34" w:rsidRPr="00D75B34" w14:paraId="260AA6D6" w14:textId="77777777" w:rsidTr="00EE642B">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6B8CE" w14:textId="77777777" w:rsidR="00D75B34" w:rsidRPr="00D75B34" w:rsidRDefault="00D75B34" w:rsidP="00EE642B">
            <w:pPr>
              <w:rPr>
                <w:rFonts w:asciiTheme="majorHAnsi" w:hAnsiTheme="majorHAnsi"/>
                <w:b w:val="0"/>
                <w:bCs w:val="0"/>
                <w:color w:val="000000" w:themeColor="text1"/>
              </w:rPr>
            </w:pPr>
            <w:r w:rsidRPr="00D75B34">
              <w:rPr>
                <w:rFonts w:asciiTheme="majorHAnsi" w:hAnsiTheme="majorHAnsi"/>
                <w:b w:val="0"/>
                <w:bCs w:val="0"/>
                <w:color w:val="000000" w:themeColor="text1"/>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C8298" w14:textId="77777777" w:rsidR="00D75B34" w:rsidRPr="00D75B34" w:rsidRDefault="00D75B34" w:rsidP="00EE642B">
            <w:pP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rPr>
            </w:pPr>
            <w:r w:rsidRPr="00D75B34">
              <w:rPr>
                <w:rFonts w:asciiTheme="majorHAnsi" w:hAnsiTheme="majorHAnsi"/>
                <w:b w:val="0"/>
                <w:color w:val="000000" w:themeColor="text1"/>
              </w:rPr>
              <w:t>Family Law Act 1975</w:t>
            </w:r>
          </w:p>
        </w:tc>
      </w:tr>
      <w:tr w:rsidR="00D75B34" w:rsidRPr="00D75B34" w14:paraId="52C9E5C2" w14:textId="77777777" w:rsidTr="00EE642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F1A44" w14:textId="77777777" w:rsidR="00D75B34" w:rsidRPr="00D75B34" w:rsidRDefault="00D75B34" w:rsidP="00EE642B">
            <w:pPr>
              <w:rPr>
                <w:rFonts w:asciiTheme="majorHAnsi" w:hAnsiTheme="majorHAnsi"/>
                <w:b w:val="0"/>
                <w:bCs w:val="0"/>
                <w:color w:val="000000" w:themeColor="text1"/>
              </w:rPr>
            </w:pPr>
            <w:r w:rsidRPr="00D75B34">
              <w:rPr>
                <w:rFonts w:asciiTheme="majorHAnsi" w:hAnsiTheme="majorHAnsi"/>
                <w:b w:val="0"/>
                <w:bCs w:val="0"/>
                <w:color w:val="000000" w:themeColor="text1"/>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8F50DC" w14:textId="77777777" w:rsidR="00D75B34" w:rsidRPr="00D75B34" w:rsidRDefault="00D75B34" w:rsidP="00EE642B">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00" w:themeColor="text1"/>
                <w:sz w:val="18"/>
                <w:szCs w:val="18"/>
              </w:rPr>
            </w:pPr>
            <w:r w:rsidRPr="00D75B34">
              <w:rPr>
                <w:rFonts w:ascii="Calibri Light" w:hAnsi="Calibri Light" w:cs="Calibri Light"/>
                <w:color w:val="000000" w:themeColor="text1"/>
              </w:rPr>
              <w:t xml:space="preserve">Family Assistance Law – </w:t>
            </w:r>
            <w:r w:rsidRPr="00D75B34">
              <w:rPr>
                <w:rFonts w:ascii="Calibri Light" w:hAnsi="Calibri Light" w:cs="Calibri Light"/>
                <w:color w:val="000000" w:themeColor="text1"/>
                <w:sz w:val="18"/>
                <w:szCs w:val="18"/>
              </w:rPr>
              <w:t>Incorporating all</w:t>
            </w:r>
            <w:r w:rsidRPr="00D75B34">
              <w:rPr>
                <w:rFonts w:ascii="Calibri Light" w:hAnsi="Calibri Light" w:cs="Calibri Light"/>
                <w:color w:val="000000" w:themeColor="text1"/>
                <w:sz w:val="12"/>
                <w:szCs w:val="12"/>
              </w:rPr>
              <w:t xml:space="preserve"> </w:t>
            </w:r>
            <w:r w:rsidRPr="00D75B34">
              <w:rPr>
                <w:rFonts w:ascii="Calibri Light" w:hAnsi="Calibri Light" w:cs="Calibri Light"/>
                <w:color w:val="000000" w:themeColor="text1"/>
                <w:sz w:val="18"/>
                <w:szCs w:val="18"/>
              </w:rPr>
              <w:t>related legislation for Child Care Provider Handbook in Appendix G</w:t>
            </w:r>
          </w:p>
          <w:bookmarkStart w:id="0" w:name="_Hlk78830018"/>
          <w:p w14:paraId="561DDD91" w14:textId="77777777" w:rsidR="00D75B34" w:rsidRPr="00D75B34" w:rsidRDefault="00D75B34"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D75B34">
              <w:rPr>
                <w:rFonts w:ascii="Calibri Light" w:hAnsi="Calibri Light" w:cs="Calibri Light"/>
                <w:color w:val="000000" w:themeColor="text1"/>
                <w:sz w:val="20"/>
                <w:szCs w:val="20"/>
              </w:rPr>
              <w:fldChar w:fldCharType="begin"/>
            </w:r>
            <w:r w:rsidRPr="00D75B34">
              <w:rPr>
                <w:rFonts w:ascii="Calibri Light" w:hAnsi="Calibri Light" w:cs="Calibri Light"/>
                <w:color w:val="000000" w:themeColor="text1"/>
                <w:sz w:val="20"/>
                <w:szCs w:val="20"/>
              </w:rPr>
              <w:instrText xml:space="preserve"> HYPERLINK "https://www.dese.gov.au/resources-child-care-providers/resources/child-care-provider-handbook" </w:instrText>
            </w:r>
            <w:r w:rsidRPr="00D75B34">
              <w:rPr>
                <w:rFonts w:ascii="Calibri Light" w:hAnsi="Calibri Light" w:cs="Calibri Light"/>
                <w:color w:val="000000" w:themeColor="text1"/>
                <w:sz w:val="20"/>
                <w:szCs w:val="20"/>
              </w:rPr>
              <w:fldChar w:fldCharType="separate"/>
            </w:r>
            <w:r w:rsidRPr="00D75B34">
              <w:rPr>
                <w:rStyle w:val="Hyperlink"/>
                <w:rFonts w:ascii="Calibri Light" w:hAnsi="Calibri Light" w:cs="Calibri Light"/>
                <w:color w:val="000000" w:themeColor="text1"/>
                <w:sz w:val="20"/>
                <w:szCs w:val="20"/>
              </w:rPr>
              <w:t>https://www.dese.gov.au/resources-child-care-providers/resources/child-care-provider-handbook</w:t>
            </w:r>
            <w:r w:rsidRPr="00D75B34">
              <w:rPr>
                <w:rFonts w:ascii="Calibri Light" w:hAnsi="Calibri Light" w:cs="Calibri Light"/>
                <w:color w:val="000000" w:themeColor="text1"/>
                <w:sz w:val="20"/>
                <w:szCs w:val="20"/>
              </w:rPr>
              <w:fldChar w:fldCharType="end"/>
            </w:r>
            <w:bookmarkEnd w:id="0"/>
          </w:p>
        </w:tc>
      </w:tr>
    </w:tbl>
    <w:p w14:paraId="26801467" w14:textId="77777777" w:rsidR="00D75B34" w:rsidRPr="00D75B34" w:rsidRDefault="00D75B34" w:rsidP="00D75B34">
      <w:pPr>
        <w:spacing w:line="240" w:lineRule="auto"/>
        <w:rPr>
          <w:rFonts w:cs="Arial"/>
          <w:color w:val="000000" w:themeColor="text1"/>
          <w:sz w:val="24"/>
          <w:szCs w:val="24"/>
        </w:rPr>
      </w:pPr>
    </w:p>
    <w:p w14:paraId="1A9B6D7D" w14:textId="77777777" w:rsidR="00D75B34" w:rsidRPr="00D75B34" w:rsidRDefault="00D75B34" w:rsidP="00D75B34">
      <w:pPr>
        <w:spacing w:line="240" w:lineRule="auto"/>
        <w:rPr>
          <w:rFonts w:cs="Arial"/>
          <w:color w:val="000000" w:themeColor="text1"/>
          <w:sz w:val="24"/>
          <w:szCs w:val="24"/>
        </w:rPr>
      </w:pPr>
    </w:p>
    <w:p w14:paraId="57C4257B" w14:textId="77777777" w:rsidR="00D75B34" w:rsidRPr="00D75B34" w:rsidRDefault="00D75B34" w:rsidP="00D75B34">
      <w:pPr>
        <w:spacing w:line="240" w:lineRule="auto"/>
        <w:rPr>
          <w:rFonts w:cs="Arial"/>
          <w:color w:val="000000" w:themeColor="text1"/>
          <w:sz w:val="24"/>
          <w:szCs w:val="24"/>
        </w:rPr>
      </w:pPr>
    </w:p>
    <w:p w14:paraId="1ADECE0E" w14:textId="77777777" w:rsidR="00D75B34" w:rsidRPr="00D75B34" w:rsidRDefault="00D75B34" w:rsidP="00D75B34">
      <w:pPr>
        <w:spacing w:line="240" w:lineRule="auto"/>
        <w:rPr>
          <w:rFonts w:cs="Arial"/>
          <w:color w:val="000000" w:themeColor="text1"/>
          <w:sz w:val="24"/>
          <w:szCs w:val="24"/>
        </w:rPr>
      </w:pPr>
      <w:r w:rsidRPr="00D75B34">
        <w:rPr>
          <w:rFonts w:cs="Arial"/>
          <w:color w:val="000000" w:themeColor="text1"/>
          <w:sz w:val="24"/>
          <w:szCs w:val="24"/>
        </w:rPr>
        <w:lastRenderedPageBreak/>
        <w:t>RELATED POLICIES</w:t>
      </w:r>
    </w:p>
    <w:tbl>
      <w:tblPr>
        <w:tblStyle w:val="TableGrid"/>
        <w:tblW w:w="9180" w:type="dxa"/>
        <w:tblLook w:val="04A0" w:firstRow="1" w:lastRow="0" w:firstColumn="1" w:lastColumn="0" w:noHBand="0" w:noVBand="1"/>
      </w:tblPr>
      <w:tblGrid>
        <w:gridCol w:w="4590"/>
        <w:gridCol w:w="4590"/>
      </w:tblGrid>
      <w:tr w:rsidR="00D75B34" w:rsidRPr="00D75B34" w14:paraId="589D042F" w14:textId="77777777" w:rsidTr="00EE642B">
        <w:trPr>
          <w:trHeight w:val="790"/>
        </w:trPr>
        <w:tc>
          <w:tcPr>
            <w:tcW w:w="4590" w:type="dxa"/>
            <w:vAlign w:val="center"/>
          </w:tcPr>
          <w:p w14:paraId="7093B7EA" w14:textId="77777777" w:rsidR="00D75B34" w:rsidRPr="00D75B34" w:rsidRDefault="00D75B34" w:rsidP="00EE642B">
            <w:pPr>
              <w:spacing w:line="276" w:lineRule="auto"/>
              <w:rPr>
                <w:rFonts w:asciiTheme="majorHAnsi" w:hAnsiTheme="majorHAnsi" w:cstheme="majorHAnsi"/>
                <w:color w:val="000000" w:themeColor="text1"/>
              </w:rPr>
            </w:pPr>
            <w:r w:rsidRPr="00D75B34">
              <w:rPr>
                <w:rFonts w:asciiTheme="majorHAnsi" w:hAnsiTheme="majorHAnsi" w:cstheme="majorHAnsi"/>
                <w:color w:val="000000" w:themeColor="text1"/>
              </w:rPr>
              <w:t>Acceptance and Refusal Policy</w:t>
            </w:r>
          </w:p>
          <w:p w14:paraId="6E037B20" w14:textId="77777777" w:rsidR="00D75B34" w:rsidRPr="00D75B34" w:rsidRDefault="00D75B34" w:rsidP="00EE642B">
            <w:pPr>
              <w:spacing w:line="276" w:lineRule="auto"/>
              <w:rPr>
                <w:rFonts w:asciiTheme="majorHAnsi" w:hAnsiTheme="majorHAnsi" w:cstheme="majorHAnsi"/>
                <w:color w:val="000000" w:themeColor="text1"/>
              </w:rPr>
            </w:pPr>
            <w:r w:rsidRPr="00D75B34">
              <w:rPr>
                <w:rFonts w:asciiTheme="majorHAnsi" w:hAnsiTheme="majorHAnsi" w:cstheme="majorHAnsi"/>
                <w:color w:val="000000" w:themeColor="text1"/>
              </w:rPr>
              <w:t>Enrolment Policy</w:t>
            </w:r>
          </w:p>
        </w:tc>
        <w:tc>
          <w:tcPr>
            <w:tcW w:w="4590" w:type="dxa"/>
            <w:vAlign w:val="center"/>
          </w:tcPr>
          <w:p w14:paraId="169762DA" w14:textId="77777777" w:rsidR="00D75B34" w:rsidRPr="00D75B34" w:rsidRDefault="00D75B34" w:rsidP="00EE642B">
            <w:pPr>
              <w:spacing w:line="276" w:lineRule="auto"/>
              <w:rPr>
                <w:rFonts w:asciiTheme="majorHAnsi" w:hAnsiTheme="majorHAnsi" w:cstheme="majorHAnsi"/>
                <w:color w:val="000000" w:themeColor="text1"/>
              </w:rPr>
            </w:pPr>
            <w:r w:rsidRPr="00D75B34">
              <w:rPr>
                <w:rFonts w:asciiTheme="majorHAnsi" w:hAnsiTheme="majorHAnsi" w:cstheme="majorHAnsi"/>
                <w:color w:val="000000" w:themeColor="text1"/>
              </w:rPr>
              <w:t>Orientation of Families Policy</w:t>
            </w:r>
          </w:p>
          <w:p w14:paraId="48B81225" w14:textId="77777777" w:rsidR="00D75B34" w:rsidRPr="00D75B34" w:rsidRDefault="00D75B34" w:rsidP="00EE642B">
            <w:pPr>
              <w:spacing w:line="276" w:lineRule="auto"/>
              <w:rPr>
                <w:rFonts w:asciiTheme="majorHAnsi" w:hAnsiTheme="majorHAnsi" w:cstheme="majorHAnsi"/>
                <w:color w:val="000000" w:themeColor="text1"/>
              </w:rPr>
            </w:pPr>
            <w:r w:rsidRPr="00D75B34">
              <w:rPr>
                <w:rFonts w:asciiTheme="majorHAnsi" w:hAnsiTheme="majorHAnsi" w:cstheme="majorHAnsi"/>
                <w:color w:val="000000" w:themeColor="text1"/>
              </w:rPr>
              <w:t>Termination of Enrolment Policy</w:t>
            </w:r>
          </w:p>
        </w:tc>
      </w:tr>
    </w:tbl>
    <w:p w14:paraId="1AB66AC0" w14:textId="77777777" w:rsidR="00D75B34" w:rsidRPr="00D75B34" w:rsidRDefault="00D75B34" w:rsidP="00D75B34">
      <w:pPr>
        <w:spacing w:after="0" w:line="360" w:lineRule="auto"/>
        <w:rPr>
          <w:rFonts w:cs="Arial"/>
          <w:color w:val="000000" w:themeColor="text1"/>
          <w:sz w:val="24"/>
          <w:szCs w:val="24"/>
        </w:rPr>
      </w:pPr>
    </w:p>
    <w:p w14:paraId="6329FBE6" w14:textId="77777777" w:rsidR="00D75B34" w:rsidRPr="00D75B34" w:rsidRDefault="00D75B34" w:rsidP="00D75B34">
      <w:pPr>
        <w:spacing w:after="0" w:line="360" w:lineRule="auto"/>
        <w:rPr>
          <w:rFonts w:asciiTheme="majorHAnsi" w:hAnsiTheme="majorHAnsi" w:cstheme="majorHAnsi"/>
          <w:color w:val="000000" w:themeColor="text1"/>
          <w:sz w:val="24"/>
          <w:szCs w:val="24"/>
        </w:rPr>
      </w:pPr>
      <w:r w:rsidRPr="00D75B34">
        <w:rPr>
          <w:rFonts w:cs="Arial"/>
          <w:color w:val="000000" w:themeColor="text1"/>
          <w:sz w:val="24"/>
          <w:szCs w:val="24"/>
        </w:rPr>
        <w:t>PURPOSE</w:t>
      </w:r>
      <w:bookmarkStart w:id="1" w:name="_Hlk528061459"/>
      <w:r w:rsidRPr="00D75B34">
        <w:rPr>
          <w:rFonts w:asciiTheme="majorHAnsi" w:hAnsiTheme="majorHAnsi" w:cs="Arial"/>
          <w:color w:val="000000" w:themeColor="text1"/>
        </w:rPr>
        <w:br/>
      </w:r>
      <w:bookmarkEnd w:id="1"/>
      <w:r w:rsidRPr="00D75B34">
        <w:rPr>
          <w:rFonts w:asciiTheme="majorHAnsi" w:hAnsiTheme="majorHAnsi"/>
          <w:color w:val="000000" w:themeColor="text1"/>
        </w:rPr>
        <w:t xml:space="preserve">We aim to ensure families gain a clear understanding of the Service requirements when withdrawing their child from our care.   </w:t>
      </w:r>
    </w:p>
    <w:p w14:paraId="5CB19094" w14:textId="77777777" w:rsidR="00D75B34" w:rsidRPr="00D75B34" w:rsidRDefault="00D75B34" w:rsidP="00D75B34">
      <w:pPr>
        <w:spacing w:after="0" w:line="360" w:lineRule="auto"/>
        <w:rPr>
          <w:rFonts w:cs="Arial"/>
          <w:color w:val="000000" w:themeColor="text1"/>
          <w:sz w:val="24"/>
          <w:szCs w:val="24"/>
        </w:rPr>
      </w:pPr>
    </w:p>
    <w:p w14:paraId="2304586E" w14:textId="77777777" w:rsidR="00D75B34" w:rsidRPr="00D75B34" w:rsidRDefault="00D75B34" w:rsidP="00D75B34">
      <w:pPr>
        <w:spacing w:after="0" w:line="360" w:lineRule="auto"/>
        <w:rPr>
          <w:rFonts w:asciiTheme="majorHAnsi" w:hAnsiTheme="majorHAnsi"/>
          <w:color w:val="000000" w:themeColor="text1"/>
        </w:rPr>
      </w:pPr>
      <w:r w:rsidRPr="00D75B34">
        <w:rPr>
          <w:rFonts w:cs="Arial"/>
          <w:color w:val="000000" w:themeColor="text1"/>
          <w:sz w:val="24"/>
          <w:szCs w:val="24"/>
        </w:rPr>
        <w:t>SCOPE</w:t>
      </w:r>
      <w:r w:rsidRPr="00D75B34">
        <w:rPr>
          <w:rFonts w:asciiTheme="majorHAnsi" w:hAnsiTheme="majorHAnsi" w:cs="Arial"/>
          <w:color w:val="000000" w:themeColor="text1"/>
        </w:rPr>
        <w:br/>
      </w:r>
      <w:r w:rsidRPr="00D75B34">
        <w:rPr>
          <w:rFonts w:asciiTheme="majorHAnsi" w:hAnsiTheme="majorHAnsi"/>
          <w:color w:val="000000" w:themeColor="text1"/>
        </w:rPr>
        <w:t>This policy applies to families and management of the Service.</w:t>
      </w:r>
      <w:r w:rsidRPr="00D75B34">
        <w:rPr>
          <w:rFonts w:asciiTheme="majorHAnsi" w:hAnsiTheme="majorHAnsi"/>
          <w:color w:val="000000" w:themeColor="text1"/>
        </w:rPr>
        <w:br/>
      </w:r>
    </w:p>
    <w:p w14:paraId="78C1458E" w14:textId="77777777" w:rsidR="00D75B34" w:rsidRPr="00D75B34" w:rsidRDefault="00D75B34" w:rsidP="00D75B34">
      <w:pPr>
        <w:spacing w:after="0" w:line="360" w:lineRule="auto"/>
        <w:rPr>
          <w:rFonts w:asciiTheme="majorHAnsi" w:hAnsiTheme="majorHAnsi"/>
          <w:color w:val="000000" w:themeColor="text1"/>
        </w:rPr>
      </w:pPr>
      <w:r w:rsidRPr="00D75B34">
        <w:rPr>
          <w:rFonts w:cs="Arial"/>
          <w:color w:val="000000" w:themeColor="text1"/>
          <w:sz w:val="24"/>
          <w:szCs w:val="24"/>
        </w:rPr>
        <w:t>IMPLEMENTATION</w:t>
      </w:r>
      <w:r w:rsidRPr="00D75B34">
        <w:rPr>
          <w:rFonts w:cs="Arial"/>
          <w:color w:val="000000" w:themeColor="text1"/>
          <w:sz w:val="24"/>
          <w:szCs w:val="24"/>
        </w:rPr>
        <w:br/>
      </w:r>
      <w:r w:rsidRPr="00D75B34">
        <w:rPr>
          <w:rFonts w:asciiTheme="majorHAnsi" w:hAnsiTheme="majorHAnsi"/>
          <w:color w:val="000000" w:themeColor="text1"/>
        </w:rPr>
        <w:t xml:space="preserve">During the enrolment and orientation process families are to be made aware of the Service requirements should they wish to withdraw their child from the Service. </w:t>
      </w:r>
    </w:p>
    <w:p w14:paraId="2996515F" w14:textId="77777777" w:rsidR="00D75B34" w:rsidRPr="00D75B34" w:rsidRDefault="00D75B34" w:rsidP="00D75B34">
      <w:pPr>
        <w:spacing w:after="0" w:line="360" w:lineRule="auto"/>
        <w:rPr>
          <w:rFonts w:cstheme="minorHAnsi"/>
          <w:color w:val="000000" w:themeColor="text1"/>
          <w:sz w:val="24"/>
          <w:szCs w:val="24"/>
        </w:rPr>
      </w:pPr>
      <w:r w:rsidRPr="00D75B34">
        <w:rPr>
          <w:rFonts w:asciiTheme="majorHAnsi" w:hAnsiTheme="majorHAnsi"/>
          <w:color w:val="000000" w:themeColor="text1"/>
        </w:rPr>
        <w:br/>
      </w:r>
      <w:r w:rsidRPr="00D75B34">
        <w:rPr>
          <w:rFonts w:cstheme="minorHAnsi"/>
          <w:color w:val="000000" w:themeColor="text1"/>
          <w:sz w:val="24"/>
          <w:szCs w:val="24"/>
        </w:rPr>
        <w:t>WITHDRAWING FROM THE SERVICE</w:t>
      </w:r>
    </w:p>
    <w:p w14:paraId="06BC7BDD" w14:textId="61F94A99" w:rsidR="00D75B34" w:rsidRPr="00D75B34" w:rsidRDefault="00D75B34" w:rsidP="00D75B34">
      <w:pPr>
        <w:pStyle w:val="ListParagraph"/>
        <w:numPr>
          <w:ilvl w:val="0"/>
          <w:numId w:val="39"/>
        </w:numPr>
        <w:spacing w:after="0" w:line="360" w:lineRule="auto"/>
        <w:rPr>
          <w:rFonts w:asciiTheme="majorHAnsi" w:hAnsiTheme="majorHAnsi"/>
          <w:color w:val="000000" w:themeColor="text1"/>
        </w:rPr>
      </w:pPr>
      <w:bookmarkStart w:id="2" w:name="_Hlk530117586"/>
      <w:r w:rsidRPr="00D75B34">
        <w:rPr>
          <w:rFonts w:asciiTheme="majorHAnsi" w:hAnsiTheme="majorHAnsi"/>
          <w:color w:val="000000" w:themeColor="text1"/>
        </w:rPr>
        <w:t xml:space="preserve">Families are required to provide management with two weeks  notice when withdrawing their child from the Service.  </w:t>
      </w:r>
    </w:p>
    <w:p w14:paraId="07E8724E" w14:textId="77777777" w:rsidR="00D75B34" w:rsidRPr="00D75B34" w:rsidRDefault="00D75B34" w:rsidP="00D75B34">
      <w:pPr>
        <w:pStyle w:val="ListParagraph"/>
        <w:numPr>
          <w:ilvl w:val="0"/>
          <w:numId w:val="39"/>
        </w:numPr>
        <w:spacing w:after="0" w:line="360" w:lineRule="auto"/>
        <w:rPr>
          <w:rFonts w:asciiTheme="majorHAnsi" w:hAnsiTheme="majorHAnsi"/>
          <w:color w:val="000000" w:themeColor="text1"/>
        </w:rPr>
      </w:pPr>
      <w:r w:rsidRPr="00D75B34">
        <w:rPr>
          <w:rFonts w:asciiTheme="majorHAnsi" w:hAnsiTheme="majorHAnsi"/>
          <w:color w:val="000000" w:themeColor="text1"/>
        </w:rPr>
        <w:t>The letter must state:</w:t>
      </w:r>
    </w:p>
    <w:p w14:paraId="7B75C378" w14:textId="77777777" w:rsidR="00D75B34" w:rsidRPr="00D75B34" w:rsidRDefault="00D75B34" w:rsidP="00D75B34">
      <w:pPr>
        <w:pStyle w:val="ListParagraph"/>
        <w:numPr>
          <w:ilvl w:val="1"/>
          <w:numId w:val="39"/>
        </w:numPr>
        <w:spacing w:after="0" w:line="360" w:lineRule="auto"/>
        <w:rPr>
          <w:rFonts w:asciiTheme="majorHAnsi" w:hAnsiTheme="majorHAnsi"/>
          <w:color w:val="000000" w:themeColor="text1"/>
        </w:rPr>
      </w:pPr>
      <w:r w:rsidRPr="00D75B34">
        <w:rPr>
          <w:rFonts w:asciiTheme="majorHAnsi" w:hAnsiTheme="majorHAnsi"/>
          <w:color w:val="000000" w:themeColor="text1"/>
        </w:rPr>
        <w:t>the date they are writing the withdrawal notice</w:t>
      </w:r>
    </w:p>
    <w:p w14:paraId="6FD8C814" w14:textId="77777777" w:rsidR="00D75B34" w:rsidRPr="00D75B34" w:rsidRDefault="00D75B34" w:rsidP="00D75B34">
      <w:pPr>
        <w:pStyle w:val="ListParagraph"/>
        <w:numPr>
          <w:ilvl w:val="1"/>
          <w:numId w:val="39"/>
        </w:numPr>
        <w:spacing w:after="0" w:line="360" w:lineRule="auto"/>
        <w:rPr>
          <w:rFonts w:asciiTheme="majorHAnsi" w:hAnsiTheme="majorHAnsi"/>
          <w:color w:val="000000" w:themeColor="text1"/>
        </w:rPr>
      </w:pPr>
      <w:r w:rsidRPr="00D75B34">
        <w:rPr>
          <w:rFonts w:asciiTheme="majorHAnsi" w:hAnsiTheme="majorHAnsi"/>
          <w:color w:val="000000" w:themeColor="text1"/>
        </w:rPr>
        <w:t xml:space="preserve">the child’s last day of attendance. </w:t>
      </w:r>
    </w:p>
    <w:p w14:paraId="6A80A046" w14:textId="77777777" w:rsidR="00D75B34" w:rsidRPr="00D75B34" w:rsidRDefault="00D75B34" w:rsidP="00D75B34">
      <w:pPr>
        <w:pStyle w:val="ListParagraph"/>
        <w:numPr>
          <w:ilvl w:val="0"/>
          <w:numId w:val="39"/>
        </w:numPr>
        <w:spacing w:after="0" w:line="360" w:lineRule="auto"/>
        <w:rPr>
          <w:rFonts w:asciiTheme="majorHAnsi" w:hAnsiTheme="majorHAnsi"/>
          <w:color w:val="000000" w:themeColor="text1"/>
        </w:rPr>
      </w:pPr>
      <w:r w:rsidRPr="00D75B34">
        <w:rPr>
          <w:rFonts w:asciiTheme="majorHAnsi" w:hAnsiTheme="majorHAnsi"/>
          <w:color w:val="000000" w:themeColor="text1"/>
        </w:rPr>
        <w:t xml:space="preserve">Written withdrawal notification can be emailed or handed to management. </w:t>
      </w:r>
    </w:p>
    <w:p w14:paraId="639184C1" w14:textId="77777777" w:rsidR="00D75B34" w:rsidRPr="00D75B34" w:rsidRDefault="00D75B34" w:rsidP="00D75B34">
      <w:pPr>
        <w:pStyle w:val="ListParagraph"/>
        <w:numPr>
          <w:ilvl w:val="0"/>
          <w:numId w:val="39"/>
        </w:numPr>
        <w:spacing w:after="0" w:line="360" w:lineRule="auto"/>
        <w:rPr>
          <w:rFonts w:asciiTheme="majorHAnsi" w:hAnsiTheme="majorHAnsi"/>
          <w:color w:val="000000" w:themeColor="text1"/>
        </w:rPr>
      </w:pPr>
      <w:r w:rsidRPr="00D75B34">
        <w:rPr>
          <w:rFonts w:asciiTheme="majorHAnsi" w:hAnsiTheme="majorHAnsi"/>
          <w:color w:val="000000" w:themeColor="text1"/>
        </w:rPr>
        <w:t>This letter will be placed into the child’s file and archived once they have left the Service.</w:t>
      </w:r>
    </w:p>
    <w:p w14:paraId="609ECC75" w14:textId="77777777" w:rsidR="00D75B34" w:rsidRPr="00D75B34" w:rsidRDefault="00D75B34" w:rsidP="00D75B34">
      <w:pPr>
        <w:numPr>
          <w:ilvl w:val="0"/>
          <w:numId w:val="39"/>
        </w:numPr>
        <w:spacing w:after="0" w:line="360" w:lineRule="auto"/>
        <w:rPr>
          <w:rFonts w:asciiTheme="majorHAnsi" w:hAnsiTheme="majorHAnsi" w:cs="Arial"/>
          <w:color w:val="000000" w:themeColor="text1"/>
        </w:rPr>
      </w:pPr>
      <w:r w:rsidRPr="00D75B34">
        <w:rPr>
          <w:rFonts w:asciiTheme="majorHAnsi" w:hAnsiTheme="majorHAnsi"/>
          <w:color w:val="000000" w:themeColor="text1"/>
        </w:rPr>
        <w:t xml:space="preserve"> </w:t>
      </w:r>
      <w:r w:rsidRPr="00D75B34">
        <w:rPr>
          <w:rFonts w:asciiTheme="majorHAnsi" w:hAnsiTheme="majorHAnsi" w:cs="Arial"/>
          <w:color w:val="000000" w:themeColor="text1"/>
        </w:rPr>
        <w:t>All records related to a child’s enrolment must be kept securely until the end of 3 years after the last day of the child’s attendance.</w:t>
      </w:r>
    </w:p>
    <w:p w14:paraId="4716975E" w14:textId="77777777" w:rsidR="00D75B34" w:rsidRPr="00D75B34" w:rsidRDefault="00D75B34" w:rsidP="00D75B34">
      <w:pPr>
        <w:pStyle w:val="ListParagraph"/>
        <w:numPr>
          <w:ilvl w:val="0"/>
          <w:numId w:val="39"/>
        </w:numPr>
        <w:spacing w:after="0" w:line="360" w:lineRule="auto"/>
        <w:rPr>
          <w:rFonts w:asciiTheme="majorHAnsi" w:hAnsiTheme="majorHAnsi"/>
          <w:color w:val="000000" w:themeColor="text1"/>
        </w:rPr>
      </w:pPr>
      <w:r w:rsidRPr="00D75B34">
        <w:rPr>
          <w:rFonts w:asciiTheme="majorHAnsi" w:hAnsiTheme="majorHAnsi"/>
          <w:color w:val="000000" w:themeColor="text1"/>
        </w:rPr>
        <w:t>Management will add an end date into the Service software program to ensure compliance with the Family Assistance Office and Centrelink.</w:t>
      </w:r>
    </w:p>
    <w:p w14:paraId="48B9DC72" w14:textId="77777777" w:rsidR="00D75B34" w:rsidRPr="00D75B34" w:rsidRDefault="00D75B34" w:rsidP="00D75B34">
      <w:pPr>
        <w:pStyle w:val="ListParagraph"/>
        <w:numPr>
          <w:ilvl w:val="0"/>
          <w:numId w:val="39"/>
        </w:numPr>
        <w:spacing w:after="0" w:line="360" w:lineRule="auto"/>
        <w:rPr>
          <w:rFonts w:asciiTheme="majorHAnsi" w:hAnsiTheme="majorHAnsi"/>
          <w:color w:val="000000" w:themeColor="text1"/>
        </w:rPr>
      </w:pPr>
      <w:r w:rsidRPr="00D75B34">
        <w:rPr>
          <w:rFonts w:asciiTheme="majorHAnsi" w:hAnsiTheme="majorHAnsi" w:cs="Arial"/>
          <w:color w:val="000000" w:themeColor="text1"/>
        </w:rPr>
        <w:t>Fees will be charged up to the end of the two weeks from the date at which notice was received in writing, whether or not the child has attended the Service during those two weeks.</w:t>
      </w:r>
    </w:p>
    <w:p w14:paraId="1D4ADF74" w14:textId="77777777" w:rsidR="00D75B34" w:rsidRPr="00D75B34" w:rsidRDefault="00D75B34" w:rsidP="00D75B34">
      <w:pPr>
        <w:numPr>
          <w:ilvl w:val="0"/>
          <w:numId w:val="39"/>
        </w:numPr>
        <w:spacing w:after="0" w:line="360" w:lineRule="auto"/>
        <w:rPr>
          <w:rFonts w:asciiTheme="majorHAnsi" w:hAnsiTheme="majorHAnsi" w:cs="Arial"/>
          <w:color w:val="000000" w:themeColor="text1"/>
        </w:rPr>
      </w:pPr>
      <w:r w:rsidRPr="00D75B34">
        <w:rPr>
          <w:rFonts w:asciiTheme="majorHAnsi" w:hAnsiTheme="majorHAnsi" w:cs="Arial"/>
          <w:color w:val="000000" w:themeColor="text1"/>
        </w:rPr>
        <w:t xml:space="preserve">A final account is to be processed by administration and noted on the withdrawal form. The final account is to be issued immediately to the family advising of the balance (payment is due or no payment due as applicable). </w:t>
      </w:r>
    </w:p>
    <w:p w14:paraId="5C6B170B" w14:textId="77777777" w:rsidR="00D75B34" w:rsidRPr="00D75B34" w:rsidRDefault="00D75B34" w:rsidP="00D75B34">
      <w:pPr>
        <w:numPr>
          <w:ilvl w:val="0"/>
          <w:numId w:val="39"/>
        </w:numPr>
        <w:spacing w:after="0" w:line="360" w:lineRule="auto"/>
        <w:rPr>
          <w:rFonts w:asciiTheme="majorHAnsi" w:hAnsiTheme="majorHAnsi" w:cs="Arial"/>
          <w:color w:val="000000" w:themeColor="text1"/>
        </w:rPr>
      </w:pPr>
      <w:r w:rsidRPr="00D75B34">
        <w:rPr>
          <w:rFonts w:asciiTheme="majorHAnsi" w:hAnsiTheme="majorHAnsi" w:cs="Arial"/>
          <w:color w:val="000000" w:themeColor="text1"/>
        </w:rPr>
        <w:t xml:space="preserve">A copy of the final account and withdrawal form is to be kept in child’s file. </w:t>
      </w:r>
    </w:p>
    <w:p w14:paraId="135FD9CA" w14:textId="77777777" w:rsidR="00D75B34" w:rsidRPr="00D75B34" w:rsidRDefault="00D75B34" w:rsidP="00D75B34">
      <w:pPr>
        <w:pStyle w:val="ListParagraph"/>
        <w:numPr>
          <w:ilvl w:val="0"/>
          <w:numId w:val="39"/>
        </w:numPr>
        <w:spacing w:after="0" w:line="360" w:lineRule="auto"/>
        <w:rPr>
          <w:rFonts w:asciiTheme="majorHAnsi" w:hAnsiTheme="majorHAnsi"/>
          <w:color w:val="000000" w:themeColor="text1"/>
        </w:rPr>
      </w:pPr>
      <w:r w:rsidRPr="00D75B34">
        <w:rPr>
          <w:rFonts w:asciiTheme="majorHAnsi" w:hAnsiTheme="majorHAnsi" w:cs="Arial"/>
          <w:color w:val="000000" w:themeColor="text1"/>
        </w:rPr>
        <w:t>Families must ensure the account is paid prior to final attendance.</w:t>
      </w:r>
    </w:p>
    <w:p w14:paraId="5F32D739" w14:textId="77777777" w:rsidR="00D75B34" w:rsidRPr="00D75B34" w:rsidRDefault="00D75B34" w:rsidP="00D75B34">
      <w:pPr>
        <w:numPr>
          <w:ilvl w:val="0"/>
          <w:numId w:val="39"/>
        </w:numPr>
        <w:spacing w:after="0" w:line="360" w:lineRule="auto"/>
        <w:rPr>
          <w:rFonts w:asciiTheme="majorHAnsi" w:hAnsiTheme="majorHAnsi" w:cs="Arial"/>
          <w:color w:val="000000" w:themeColor="text1"/>
        </w:rPr>
      </w:pPr>
      <w:r w:rsidRPr="00D75B34">
        <w:rPr>
          <w:rFonts w:asciiTheme="majorHAnsi" w:hAnsiTheme="majorHAnsi" w:cs="Arial"/>
          <w:color w:val="000000" w:themeColor="text1"/>
        </w:rPr>
        <w:lastRenderedPageBreak/>
        <w:t xml:space="preserve">If payment has not been received, the debt recovery process is to start immediately. </w:t>
      </w:r>
    </w:p>
    <w:p w14:paraId="3C77926E" w14:textId="77777777" w:rsidR="00D75B34" w:rsidRPr="00D75B34" w:rsidRDefault="00D75B34" w:rsidP="00D75B34">
      <w:pPr>
        <w:numPr>
          <w:ilvl w:val="0"/>
          <w:numId w:val="39"/>
        </w:numPr>
        <w:spacing w:after="0" w:line="360" w:lineRule="auto"/>
        <w:rPr>
          <w:rFonts w:asciiTheme="majorHAnsi" w:hAnsiTheme="majorHAnsi" w:cs="Arial"/>
          <w:color w:val="000000" w:themeColor="text1"/>
        </w:rPr>
      </w:pPr>
      <w:r w:rsidRPr="00D75B34">
        <w:rPr>
          <w:rFonts w:asciiTheme="majorHAnsi" w:hAnsiTheme="majorHAnsi" w:cs="Arial"/>
          <w:color w:val="000000" w:themeColor="text1"/>
        </w:rPr>
        <w:t>If the child does not attend during their two weeks of notice, Child Care Subsidy (CCS) will not be paid after their last day of attendance (including if the child does not attend on their last day) and full fees will be applicable (This is a policy of the Family Assistance Office in relation to Child Care Subsidy).</w:t>
      </w:r>
    </w:p>
    <w:p w14:paraId="52394EF1" w14:textId="77777777" w:rsidR="00D75B34" w:rsidRPr="00D75B34" w:rsidRDefault="00D75B34" w:rsidP="00D75B34">
      <w:pPr>
        <w:numPr>
          <w:ilvl w:val="0"/>
          <w:numId w:val="39"/>
        </w:numPr>
        <w:spacing w:after="0" w:line="360" w:lineRule="auto"/>
        <w:rPr>
          <w:rFonts w:asciiTheme="majorHAnsi" w:hAnsiTheme="majorHAnsi" w:cs="Arial"/>
          <w:color w:val="000000" w:themeColor="text1"/>
        </w:rPr>
      </w:pPr>
      <w:r w:rsidRPr="00D75B34">
        <w:rPr>
          <w:rFonts w:asciiTheme="majorHAnsi" w:hAnsiTheme="majorHAnsi" w:cs="Arial"/>
          <w:color w:val="000000" w:themeColor="text1"/>
        </w:rPr>
        <w:t>At the end of the placement and if all criteria regarding fees and notice of withdrawal have been met, then the initial Bond payment made on enrolment will be refunded to the family within two weeks of the child’s last day.</w:t>
      </w:r>
    </w:p>
    <w:p w14:paraId="7B964A3D" w14:textId="77777777" w:rsidR="00D75B34" w:rsidRPr="00D75B34" w:rsidRDefault="00D75B34" w:rsidP="00D75B34">
      <w:pPr>
        <w:pStyle w:val="ListParagraph"/>
        <w:numPr>
          <w:ilvl w:val="0"/>
          <w:numId w:val="39"/>
        </w:numPr>
        <w:spacing w:after="0" w:line="360" w:lineRule="auto"/>
        <w:rPr>
          <w:rFonts w:asciiTheme="majorHAnsi" w:hAnsiTheme="majorHAnsi"/>
          <w:color w:val="000000" w:themeColor="text1"/>
        </w:rPr>
      </w:pPr>
      <w:r w:rsidRPr="00D75B34">
        <w:rPr>
          <w:rFonts w:asciiTheme="majorHAnsi" w:hAnsiTheme="majorHAnsi" w:cs="Arial"/>
          <w:color w:val="000000" w:themeColor="text1"/>
        </w:rPr>
        <w:t>If at any time during the child’s enrolment it is felt that it is necessary to discuss the viability of the placement due to a concern regarding the duty of care to the child or other children in our care, the Service will immediately contact the Parent/Authorised Person/s to discuss all options. This may include the termination of the child’s position (</w:t>
      </w:r>
      <w:r w:rsidRPr="00D75B34">
        <w:rPr>
          <w:rFonts w:asciiTheme="majorHAnsi" w:hAnsiTheme="majorHAnsi" w:cs="Arial"/>
          <w:i/>
          <w:color w:val="000000" w:themeColor="text1"/>
        </w:rPr>
        <w:t>See Termination of Enrolment Policy)</w:t>
      </w:r>
      <w:r w:rsidRPr="00D75B34">
        <w:rPr>
          <w:rFonts w:asciiTheme="majorHAnsi" w:hAnsiTheme="majorHAnsi" w:cs="Arial"/>
          <w:color w:val="000000" w:themeColor="text1"/>
        </w:rPr>
        <w:t>.</w:t>
      </w:r>
    </w:p>
    <w:p w14:paraId="4FAB0C6E" w14:textId="77777777" w:rsidR="00D75B34" w:rsidRPr="00D75B34" w:rsidRDefault="00D75B34" w:rsidP="00D75B34">
      <w:pPr>
        <w:spacing w:after="0" w:line="360" w:lineRule="auto"/>
        <w:rPr>
          <w:rFonts w:cstheme="minorHAnsi"/>
          <w:color w:val="000000" w:themeColor="text1"/>
          <w:sz w:val="24"/>
          <w:szCs w:val="24"/>
        </w:rPr>
      </w:pPr>
    </w:p>
    <w:p w14:paraId="7008C4FB" w14:textId="77777777" w:rsidR="00D75B34" w:rsidRPr="00D75B34" w:rsidRDefault="00D75B34" w:rsidP="00D75B34">
      <w:pPr>
        <w:spacing w:after="0" w:line="360" w:lineRule="auto"/>
        <w:rPr>
          <w:rFonts w:cstheme="minorHAnsi"/>
          <w:color w:val="000000" w:themeColor="text1"/>
          <w:sz w:val="24"/>
          <w:szCs w:val="24"/>
        </w:rPr>
      </w:pPr>
      <w:r w:rsidRPr="00D75B34">
        <w:rPr>
          <w:rFonts w:cstheme="minorHAnsi"/>
          <w:color w:val="000000" w:themeColor="text1"/>
          <w:sz w:val="24"/>
          <w:szCs w:val="24"/>
        </w:rPr>
        <w:t>CONTINUING ENROLMENT FOR THE NEW YEAR</w:t>
      </w:r>
    </w:p>
    <w:bookmarkEnd w:id="2"/>
    <w:p w14:paraId="1B79B60A" w14:textId="77777777" w:rsidR="00D75B34" w:rsidRPr="00D75B34" w:rsidRDefault="00D75B34" w:rsidP="00D75B34">
      <w:pPr>
        <w:pStyle w:val="ListParagraph"/>
        <w:numPr>
          <w:ilvl w:val="0"/>
          <w:numId w:val="41"/>
        </w:numPr>
        <w:spacing w:after="60" w:line="360" w:lineRule="auto"/>
        <w:rPr>
          <w:rFonts w:asciiTheme="majorHAnsi" w:hAnsiTheme="majorHAnsi" w:cs="Arial"/>
          <w:color w:val="000000" w:themeColor="text1"/>
        </w:rPr>
      </w:pPr>
      <w:r w:rsidRPr="00D75B34">
        <w:rPr>
          <w:rFonts w:asciiTheme="majorHAnsi" w:hAnsiTheme="majorHAnsi" w:cs="Arial"/>
          <w:color w:val="000000" w:themeColor="text1"/>
        </w:rPr>
        <w:t xml:space="preserve">Prior to the end of each year, families will be provided with a letter to confirm their child’s continuing enrolment for the New Year. </w:t>
      </w:r>
    </w:p>
    <w:p w14:paraId="274963FE" w14:textId="77777777" w:rsidR="00D75B34" w:rsidRPr="00D75B34" w:rsidRDefault="00D75B34" w:rsidP="00D75B34">
      <w:pPr>
        <w:pStyle w:val="ListParagraph"/>
        <w:numPr>
          <w:ilvl w:val="0"/>
          <w:numId w:val="41"/>
        </w:numPr>
        <w:spacing w:after="60" w:line="360" w:lineRule="auto"/>
        <w:rPr>
          <w:rFonts w:asciiTheme="majorHAnsi" w:hAnsiTheme="majorHAnsi" w:cs="Arial"/>
          <w:color w:val="000000" w:themeColor="text1"/>
        </w:rPr>
      </w:pPr>
      <w:r w:rsidRPr="00D75B34">
        <w:rPr>
          <w:rFonts w:asciiTheme="majorHAnsi" w:hAnsiTheme="majorHAnsi" w:cs="Arial"/>
          <w:color w:val="000000" w:themeColor="text1"/>
        </w:rPr>
        <w:t xml:space="preserve">Failure to return this letter may result in their child not being considered for a future position. </w:t>
      </w:r>
    </w:p>
    <w:p w14:paraId="458DD041" w14:textId="77777777" w:rsidR="00D75B34" w:rsidRPr="00D75B34" w:rsidRDefault="00D75B34" w:rsidP="00D75B34">
      <w:pPr>
        <w:pStyle w:val="ListParagraph"/>
        <w:numPr>
          <w:ilvl w:val="0"/>
          <w:numId w:val="41"/>
        </w:numPr>
        <w:spacing w:after="60" w:line="360" w:lineRule="auto"/>
        <w:rPr>
          <w:rFonts w:asciiTheme="majorHAnsi" w:hAnsiTheme="majorHAnsi"/>
          <w:color w:val="000000" w:themeColor="text1"/>
        </w:rPr>
      </w:pPr>
      <w:r w:rsidRPr="00D75B34">
        <w:rPr>
          <w:rFonts w:asciiTheme="majorHAnsi" w:hAnsiTheme="majorHAnsi" w:cs="Arial"/>
          <w:color w:val="000000" w:themeColor="text1"/>
        </w:rPr>
        <w:t xml:space="preserve">Families with children going to school the following year will be required to complete the Re-enrolment form confirming that their child will be going to school the following year, adding an end date to their child’s care. </w:t>
      </w:r>
    </w:p>
    <w:p w14:paraId="6C7B244E" w14:textId="77777777" w:rsidR="00D75B34" w:rsidRPr="00D75B34" w:rsidRDefault="00D75B34" w:rsidP="00D75B34">
      <w:pPr>
        <w:pStyle w:val="ListParagraph"/>
        <w:numPr>
          <w:ilvl w:val="0"/>
          <w:numId w:val="41"/>
        </w:numPr>
        <w:spacing w:after="60" w:line="360" w:lineRule="auto"/>
        <w:rPr>
          <w:rFonts w:asciiTheme="majorHAnsi" w:hAnsiTheme="majorHAnsi"/>
          <w:color w:val="000000" w:themeColor="text1"/>
        </w:rPr>
      </w:pPr>
      <w:r w:rsidRPr="00D75B34">
        <w:rPr>
          <w:rFonts w:asciiTheme="majorHAnsi" w:hAnsiTheme="majorHAnsi" w:cs="Arial"/>
          <w:color w:val="000000" w:themeColor="text1"/>
        </w:rPr>
        <w:t xml:space="preserve">Families who require care in the New Year until the school year starts, will need to advise management in writing on the Re-enrolment form, stating their child’s last date of attendance at the Service. Any extensions to the advised date will be assessed by management and subject to availability which will be confirmed in writing for families. </w:t>
      </w:r>
    </w:p>
    <w:p w14:paraId="4B2CA43E" w14:textId="77777777" w:rsidR="00D75B34" w:rsidRPr="00D75B34" w:rsidRDefault="00D75B34" w:rsidP="00D75B34">
      <w:pPr>
        <w:pStyle w:val="ListParagraph"/>
        <w:numPr>
          <w:ilvl w:val="0"/>
          <w:numId w:val="41"/>
        </w:numPr>
        <w:spacing w:after="60" w:line="360" w:lineRule="auto"/>
        <w:rPr>
          <w:rFonts w:asciiTheme="majorHAnsi" w:hAnsiTheme="majorHAnsi"/>
          <w:color w:val="000000" w:themeColor="text1"/>
        </w:rPr>
      </w:pPr>
      <w:r w:rsidRPr="00D75B34">
        <w:rPr>
          <w:rFonts w:asciiTheme="majorHAnsi" w:hAnsiTheme="majorHAnsi"/>
          <w:color w:val="000000" w:themeColor="text1"/>
        </w:rPr>
        <w:t xml:space="preserve">The Complying Written Arrangement </w:t>
      </w:r>
      <w:r w:rsidRPr="00D75B34">
        <w:rPr>
          <w:rFonts w:asciiTheme="majorHAnsi" w:hAnsiTheme="majorHAnsi"/>
          <w:strike/>
          <w:color w:val="000000" w:themeColor="text1"/>
        </w:rPr>
        <w:t>end date</w:t>
      </w:r>
      <w:r w:rsidRPr="00D75B34">
        <w:rPr>
          <w:rFonts w:asciiTheme="majorHAnsi" w:hAnsiTheme="majorHAnsi"/>
          <w:color w:val="000000" w:themeColor="text1"/>
        </w:rPr>
        <w:t xml:space="preserve"> will be updated </w:t>
      </w:r>
    </w:p>
    <w:p w14:paraId="0AA5CB8C" w14:textId="77777777" w:rsidR="00D75B34" w:rsidRPr="00D75B34" w:rsidRDefault="00D75B34" w:rsidP="00D75B34">
      <w:pPr>
        <w:pStyle w:val="ListParagraph"/>
        <w:numPr>
          <w:ilvl w:val="0"/>
          <w:numId w:val="41"/>
        </w:numPr>
        <w:spacing w:after="0" w:line="360" w:lineRule="auto"/>
        <w:rPr>
          <w:rFonts w:asciiTheme="majorHAnsi" w:hAnsiTheme="majorHAnsi"/>
          <w:color w:val="000000" w:themeColor="text1"/>
        </w:rPr>
      </w:pPr>
      <w:r w:rsidRPr="00D75B34">
        <w:rPr>
          <w:rFonts w:asciiTheme="majorHAnsi" w:hAnsiTheme="majorHAnsi"/>
          <w:color w:val="000000" w:themeColor="text1"/>
        </w:rPr>
        <w:t>Families eligible for Child Care Subsidy are responsible for ensuring that all information requested by Centrelink is provided to them in order to ensure no interruption to CCS payments.</w:t>
      </w:r>
      <w:r w:rsidRPr="00D75B34">
        <w:rPr>
          <w:rFonts w:asciiTheme="majorHAnsi" w:hAnsiTheme="majorHAnsi"/>
          <w:color w:val="000000" w:themeColor="text1"/>
        </w:rPr>
        <w:br/>
      </w:r>
    </w:p>
    <w:p w14:paraId="157E785A" w14:textId="77777777" w:rsidR="00D75B34" w:rsidRPr="00D75B34" w:rsidRDefault="00D75B34" w:rsidP="00D75B34">
      <w:pPr>
        <w:spacing w:after="0" w:line="360" w:lineRule="auto"/>
        <w:rPr>
          <w:rFonts w:cstheme="minorHAnsi"/>
          <w:color w:val="000000" w:themeColor="text1"/>
          <w:sz w:val="24"/>
          <w:szCs w:val="24"/>
        </w:rPr>
      </w:pPr>
      <w:r w:rsidRPr="00D75B34">
        <w:rPr>
          <w:rFonts w:cstheme="minorHAnsi"/>
          <w:color w:val="000000" w:themeColor="text1"/>
          <w:sz w:val="24"/>
          <w:szCs w:val="24"/>
        </w:rPr>
        <w:t>EMPLOYEES WITH CHILDREN AT THE SERVICE</w:t>
      </w:r>
    </w:p>
    <w:p w14:paraId="2FDBDAE8" w14:textId="77777777" w:rsidR="00D75B34" w:rsidRPr="00D75B34" w:rsidRDefault="00D75B34" w:rsidP="00D75B34">
      <w:pPr>
        <w:spacing w:after="0" w:line="360" w:lineRule="auto"/>
        <w:rPr>
          <w:rFonts w:asciiTheme="majorHAnsi" w:hAnsiTheme="majorHAnsi"/>
          <w:color w:val="000000" w:themeColor="text1"/>
        </w:rPr>
      </w:pPr>
      <w:r w:rsidRPr="00D75B34">
        <w:rPr>
          <w:rFonts w:asciiTheme="majorHAnsi" w:hAnsiTheme="majorHAnsi"/>
          <w:color w:val="000000" w:themeColor="text1"/>
        </w:rPr>
        <w:t xml:space="preserve">Employees are welcome to enrol their child at the Service, however, if an employee is terminated from their position, the Service reserves the right to terminate the child’s position due to conflict of interest. </w:t>
      </w:r>
      <w:r w:rsidRPr="00D75B34">
        <w:rPr>
          <w:rFonts w:asciiTheme="majorHAnsi" w:hAnsiTheme="majorHAnsi"/>
          <w:color w:val="000000" w:themeColor="text1"/>
        </w:rPr>
        <w:br/>
      </w:r>
    </w:p>
    <w:p w14:paraId="2069B154" w14:textId="77777777" w:rsidR="00D75B34" w:rsidRPr="00D75B34" w:rsidRDefault="00D75B34" w:rsidP="00D75B34">
      <w:pPr>
        <w:spacing w:after="0" w:line="360" w:lineRule="auto"/>
        <w:rPr>
          <w:rFonts w:cstheme="minorHAnsi"/>
          <w:color w:val="000000" w:themeColor="text1"/>
          <w:sz w:val="24"/>
          <w:szCs w:val="24"/>
        </w:rPr>
      </w:pPr>
      <w:r w:rsidRPr="00D75B34">
        <w:rPr>
          <w:rFonts w:cstheme="minorHAnsi"/>
          <w:color w:val="000000" w:themeColor="text1"/>
          <w:sz w:val="24"/>
          <w:szCs w:val="24"/>
        </w:rPr>
        <w:t>WITHDRAWAL PRIOR TO COMMENCEMENT OF CARE</w:t>
      </w:r>
    </w:p>
    <w:p w14:paraId="11C49C17" w14:textId="77777777" w:rsidR="00D75B34" w:rsidRPr="00D75B34" w:rsidRDefault="00D75B34" w:rsidP="00D75B34">
      <w:pPr>
        <w:spacing w:after="0" w:line="360" w:lineRule="auto"/>
        <w:rPr>
          <w:rFonts w:asciiTheme="majorHAnsi" w:hAnsiTheme="majorHAnsi"/>
          <w:color w:val="000000" w:themeColor="text1"/>
        </w:rPr>
      </w:pPr>
      <w:r w:rsidRPr="00D75B34">
        <w:rPr>
          <w:rFonts w:asciiTheme="majorHAnsi" w:hAnsiTheme="majorHAnsi"/>
          <w:color w:val="000000" w:themeColor="text1"/>
        </w:rPr>
        <w:lastRenderedPageBreak/>
        <w:t>If a family has accepted the offer of a placement, then decides to withdraw from the Service before the agreed commencement date, the written notice period applies. If less than the written notice period is given prior to the agreed commencement date, full payment of the two weeks holding deposit/bond is payable to the Service and is non-refundable.</w:t>
      </w:r>
    </w:p>
    <w:p w14:paraId="3EA4D727" w14:textId="77777777" w:rsidR="00D75B34" w:rsidRPr="00D75B34" w:rsidRDefault="00D75B34" w:rsidP="00D75B34">
      <w:pPr>
        <w:spacing w:after="0" w:line="360" w:lineRule="auto"/>
        <w:rPr>
          <w:rFonts w:cstheme="minorHAnsi"/>
          <w:color w:val="000000" w:themeColor="text1"/>
        </w:rPr>
      </w:pPr>
    </w:p>
    <w:p w14:paraId="54DEC0DE" w14:textId="77777777" w:rsidR="00D75B34" w:rsidRPr="00D75B34" w:rsidRDefault="00D75B34" w:rsidP="00D75B34">
      <w:pPr>
        <w:spacing w:after="0" w:line="360" w:lineRule="auto"/>
        <w:rPr>
          <w:rFonts w:cstheme="minorHAnsi"/>
          <w:color w:val="000000" w:themeColor="text1"/>
          <w:sz w:val="24"/>
          <w:szCs w:val="24"/>
        </w:rPr>
      </w:pPr>
      <w:r w:rsidRPr="00D75B34">
        <w:rPr>
          <w:rFonts w:cstheme="minorHAnsi"/>
          <w:color w:val="000000" w:themeColor="text1"/>
          <w:sz w:val="24"/>
          <w:szCs w:val="24"/>
        </w:rPr>
        <w:t>14 Week Rule (CCS)</w:t>
      </w:r>
    </w:p>
    <w:p w14:paraId="0099EC5A" w14:textId="77777777" w:rsidR="00D75B34" w:rsidRPr="00D75B34" w:rsidRDefault="00D75B34" w:rsidP="00D75B34">
      <w:pPr>
        <w:spacing w:after="0" w:line="360" w:lineRule="auto"/>
        <w:rPr>
          <w:rFonts w:asciiTheme="majorHAnsi" w:hAnsiTheme="majorHAnsi"/>
          <w:color w:val="000000" w:themeColor="text1"/>
        </w:rPr>
      </w:pPr>
      <w:r w:rsidRPr="00D75B34">
        <w:rPr>
          <w:rFonts w:asciiTheme="majorHAnsi" w:hAnsiTheme="majorHAnsi"/>
          <w:color w:val="000000" w:themeColor="text1"/>
        </w:rPr>
        <w:t xml:space="preserve">An enrolment will end for Child Care Subsidy purposes, if a child does not attend a session of care at our Service for 14 continuous weeks. </w:t>
      </w:r>
    </w:p>
    <w:p w14:paraId="2C0CFB29" w14:textId="77777777" w:rsidR="00D75B34" w:rsidRPr="00D75B34" w:rsidRDefault="00D75B34" w:rsidP="00D75B34">
      <w:pPr>
        <w:spacing w:after="0" w:line="360" w:lineRule="auto"/>
        <w:rPr>
          <w:rFonts w:asciiTheme="majorHAnsi" w:hAnsiTheme="majorHAnsi"/>
          <w:b/>
          <w:color w:val="000000" w:themeColor="text1"/>
        </w:rPr>
      </w:pPr>
      <w:r w:rsidRPr="00D75B34">
        <w:rPr>
          <w:rFonts w:asciiTheme="majorHAnsi" w:hAnsiTheme="majorHAnsi"/>
          <w:color w:val="000000" w:themeColor="text1"/>
        </w:rPr>
        <w:t>This ensures that enrolments at our Service our current and do not remain open indefinitely in the Child Care Subsidy system.</w:t>
      </w:r>
    </w:p>
    <w:p w14:paraId="090C0BCC" w14:textId="77777777" w:rsidR="00D75B34" w:rsidRPr="00D75B34" w:rsidRDefault="00D75B34" w:rsidP="00D75B34">
      <w:pPr>
        <w:spacing w:after="0" w:line="360" w:lineRule="auto"/>
        <w:rPr>
          <w:rFonts w:cs="Arial"/>
          <w:color w:val="000000" w:themeColor="text1"/>
        </w:rPr>
      </w:pPr>
    </w:p>
    <w:p w14:paraId="2E2D3D0E" w14:textId="77777777" w:rsidR="00D75B34" w:rsidRPr="00D75B34" w:rsidRDefault="00D75B34" w:rsidP="00D75B34">
      <w:pPr>
        <w:spacing w:after="0" w:line="360" w:lineRule="auto"/>
        <w:rPr>
          <w:rFonts w:cstheme="minorHAnsi"/>
          <w:color w:val="000000" w:themeColor="text1"/>
        </w:rPr>
      </w:pPr>
      <w:r w:rsidRPr="00D75B34">
        <w:rPr>
          <w:rFonts w:cstheme="minorHAnsi"/>
          <w:color w:val="000000" w:themeColor="text1"/>
        </w:rPr>
        <w:t>UPDATING AND ENDING ARRANGEMENTS AND ENROLMENTS</w:t>
      </w:r>
    </w:p>
    <w:p w14:paraId="188C1D2A" w14:textId="77777777" w:rsidR="00D75B34" w:rsidRPr="00D75B34" w:rsidRDefault="00D75B34" w:rsidP="00D75B34">
      <w:pPr>
        <w:spacing w:after="0" w:line="360" w:lineRule="auto"/>
        <w:rPr>
          <w:rFonts w:asciiTheme="majorHAnsi" w:hAnsiTheme="majorHAnsi" w:cstheme="majorHAnsi"/>
          <w:color w:val="000000" w:themeColor="text1"/>
        </w:rPr>
      </w:pPr>
      <w:r w:rsidRPr="00D75B34">
        <w:rPr>
          <w:rFonts w:asciiTheme="majorHAnsi" w:hAnsiTheme="majorHAnsi" w:cstheme="majorHAnsi"/>
          <w:color w:val="000000" w:themeColor="text1"/>
        </w:rPr>
        <w:t xml:space="preserve">When the arrangement for care ends, the approved provider must update an enrolment notice in the Child Care Subsidy System within seven days of the change or event which caused the change to the arrangement. </w:t>
      </w:r>
    </w:p>
    <w:p w14:paraId="524792A3" w14:textId="77777777" w:rsidR="00D75B34" w:rsidRPr="00D75B34" w:rsidRDefault="00D75B34" w:rsidP="00D75B34">
      <w:pPr>
        <w:spacing w:after="0" w:line="360" w:lineRule="auto"/>
        <w:rPr>
          <w:rFonts w:asciiTheme="majorHAnsi" w:hAnsiTheme="majorHAnsi" w:cstheme="majorHAnsi"/>
        </w:rPr>
      </w:pPr>
    </w:p>
    <w:p w14:paraId="1ED14627" w14:textId="77777777" w:rsidR="00D75B34" w:rsidRPr="00D75B34" w:rsidRDefault="00D75B34" w:rsidP="00D75B34">
      <w:pPr>
        <w:spacing w:after="0" w:line="276" w:lineRule="auto"/>
        <w:rPr>
          <w:rFonts w:cs="Arial"/>
        </w:rPr>
      </w:pPr>
    </w:p>
    <w:p w14:paraId="5D7D1A89" w14:textId="77777777" w:rsidR="00D75B34" w:rsidRPr="00D75B34" w:rsidRDefault="00D75B34" w:rsidP="00D75B34">
      <w:pPr>
        <w:spacing w:after="0" w:line="276" w:lineRule="auto"/>
        <w:rPr>
          <w:rFonts w:asciiTheme="majorHAnsi" w:hAnsiTheme="majorHAnsi" w:cs="Calibri"/>
          <w:sz w:val="20"/>
          <w:szCs w:val="20"/>
        </w:rPr>
      </w:pPr>
      <w:r w:rsidRPr="00D75B34">
        <w:rPr>
          <w:rFonts w:cs="Arial"/>
        </w:rPr>
        <w:t>SOURCE</w:t>
      </w:r>
      <w:bookmarkStart w:id="3" w:name="_Hlk53149483"/>
    </w:p>
    <w:p w14:paraId="236FE7D7" w14:textId="77777777" w:rsidR="00D75B34" w:rsidRPr="00D75B34" w:rsidRDefault="00D75B34" w:rsidP="00D75B34">
      <w:pPr>
        <w:spacing w:after="0" w:line="276" w:lineRule="auto"/>
        <w:rPr>
          <w:rFonts w:asciiTheme="majorHAnsi" w:hAnsiTheme="majorHAnsi" w:cs="Calibri"/>
          <w:sz w:val="20"/>
          <w:szCs w:val="20"/>
        </w:rPr>
      </w:pPr>
      <w:r w:rsidRPr="00D75B34">
        <w:rPr>
          <w:rFonts w:asciiTheme="majorHAnsi" w:hAnsiTheme="majorHAnsi" w:cs="Calibri"/>
          <w:sz w:val="20"/>
          <w:szCs w:val="20"/>
        </w:rPr>
        <w:t>Australian Government Department of Education, Skills and Employment. (2019) Child Care Provider handbook</w:t>
      </w:r>
    </w:p>
    <w:bookmarkEnd w:id="3"/>
    <w:p w14:paraId="73838CD6" w14:textId="77777777" w:rsidR="00D75B34" w:rsidRPr="00D75B34" w:rsidRDefault="00D75B34" w:rsidP="00D75B34">
      <w:pPr>
        <w:spacing w:after="0" w:line="276" w:lineRule="auto"/>
        <w:rPr>
          <w:rFonts w:ascii="Calibri Light" w:hAnsi="Calibri Light" w:cs="Calibri Light"/>
          <w:sz w:val="20"/>
          <w:szCs w:val="20"/>
        </w:rPr>
      </w:pPr>
      <w:r w:rsidRPr="00D75B34">
        <w:fldChar w:fldCharType="begin"/>
      </w:r>
      <w:r w:rsidRPr="00D75B34">
        <w:instrText xml:space="preserve"> HYPERLINK "https://www.dese.gov.au/resources-child-care-providers/resources/child-care-provider-handbook" </w:instrText>
      </w:r>
      <w:r w:rsidRPr="00D75B34">
        <w:fldChar w:fldCharType="separate"/>
      </w:r>
      <w:r w:rsidRPr="00D75B34">
        <w:rPr>
          <w:rStyle w:val="Hyperlink"/>
          <w:rFonts w:ascii="Calibri Light" w:hAnsi="Calibri Light" w:cs="Calibri Light"/>
          <w:sz w:val="20"/>
          <w:szCs w:val="20"/>
        </w:rPr>
        <w:t>https://www.dese.gov.au/resources-child-care-providers/resources/child-care-provider-handbook</w:t>
      </w:r>
      <w:r w:rsidRPr="00D75B34">
        <w:rPr>
          <w:rStyle w:val="Hyperlink"/>
          <w:rFonts w:ascii="Calibri Light" w:hAnsi="Calibri Light" w:cs="Calibri Light"/>
          <w:sz w:val="20"/>
          <w:szCs w:val="20"/>
        </w:rPr>
        <w:fldChar w:fldCharType="end"/>
      </w:r>
      <w:r w:rsidRPr="00D75B34">
        <w:rPr>
          <w:rFonts w:ascii="Calibri Light" w:hAnsi="Calibri Light" w:cs="Calibri Light"/>
          <w:sz w:val="20"/>
          <w:szCs w:val="20"/>
        </w:rPr>
        <w:t xml:space="preserve"> </w:t>
      </w:r>
    </w:p>
    <w:p w14:paraId="18BED466" w14:textId="01BF859E" w:rsidR="00D75B34" w:rsidRPr="00D75B34" w:rsidRDefault="00D75B34" w:rsidP="00D75B34">
      <w:pPr>
        <w:spacing w:after="0" w:line="276" w:lineRule="auto"/>
        <w:rPr>
          <w:rFonts w:asciiTheme="majorHAnsi" w:hAnsiTheme="majorHAnsi" w:cstheme="majorHAnsi"/>
          <w:strike/>
          <w:sz w:val="20"/>
          <w:szCs w:val="20"/>
        </w:rPr>
      </w:pPr>
      <w:r w:rsidRPr="00D75B34">
        <w:rPr>
          <w:rFonts w:asciiTheme="majorHAnsi" w:hAnsiTheme="majorHAnsi" w:cstheme="majorHAnsi"/>
          <w:sz w:val="20"/>
          <w:szCs w:val="20"/>
        </w:rPr>
        <w:t xml:space="preserve">Australian Government Services Australia Child Care Subsidy </w:t>
      </w:r>
    </w:p>
    <w:p w14:paraId="6BE6FAD5" w14:textId="77777777" w:rsidR="00D75B34" w:rsidRPr="00D75B34" w:rsidRDefault="00D75B34" w:rsidP="00D75B34">
      <w:pPr>
        <w:spacing w:after="0" w:line="276" w:lineRule="auto"/>
        <w:rPr>
          <w:rFonts w:asciiTheme="majorHAnsi" w:hAnsiTheme="majorHAnsi" w:cstheme="majorHAnsi"/>
          <w:sz w:val="20"/>
          <w:szCs w:val="20"/>
        </w:rPr>
      </w:pPr>
      <w:hyperlink r:id="rId7" w:history="1">
        <w:r w:rsidRPr="00D75B34">
          <w:rPr>
            <w:rStyle w:val="Hyperlink"/>
            <w:rFonts w:asciiTheme="majorHAnsi" w:hAnsiTheme="majorHAnsi" w:cstheme="majorHAnsi"/>
            <w:sz w:val="20"/>
            <w:szCs w:val="20"/>
          </w:rPr>
          <w:t>https://www.servicesaustralia.gov.au/individuals/services/centrelink/child-care-subsidy</w:t>
        </w:r>
      </w:hyperlink>
    </w:p>
    <w:p w14:paraId="1731BCE9" w14:textId="77777777" w:rsidR="00D75B34" w:rsidRPr="00D75B34" w:rsidRDefault="00D75B34" w:rsidP="00D75B34">
      <w:pPr>
        <w:spacing w:after="0" w:line="276" w:lineRule="auto"/>
        <w:rPr>
          <w:rFonts w:asciiTheme="majorHAnsi" w:hAnsiTheme="majorHAnsi" w:cstheme="majorHAnsi"/>
          <w:sz w:val="20"/>
          <w:szCs w:val="20"/>
        </w:rPr>
      </w:pPr>
      <w:r w:rsidRPr="00D75B34">
        <w:rPr>
          <w:rFonts w:asciiTheme="majorHAnsi" w:hAnsiTheme="majorHAnsi" w:cstheme="majorHAnsi"/>
          <w:sz w:val="20"/>
          <w:szCs w:val="20"/>
        </w:rPr>
        <w:t>Early Childhood Australia Code of Ethics. (2016).</w:t>
      </w:r>
    </w:p>
    <w:p w14:paraId="6A28F01D" w14:textId="77777777" w:rsidR="00D75B34" w:rsidRPr="00D75B34" w:rsidRDefault="00D75B34" w:rsidP="00D75B34">
      <w:pPr>
        <w:spacing w:after="0" w:line="276" w:lineRule="auto"/>
        <w:rPr>
          <w:rFonts w:asciiTheme="majorHAnsi" w:hAnsiTheme="majorHAnsi" w:cstheme="majorHAnsi"/>
          <w:sz w:val="20"/>
          <w:szCs w:val="20"/>
        </w:rPr>
      </w:pPr>
      <w:hyperlink r:id="rId8" w:history="1">
        <w:r w:rsidRPr="00D75B34">
          <w:rPr>
            <w:rStyle w:val="Hyperlink"/>
            <w:rFonts w:asciiTheme="majorHAnsi" w:hAnsiTheme="majorHAnsi" w:cstheme="majorHAnsi"/>
            <w:sz w:val="20"/>
            <w:szCs w:val="20"/>
          </w:rPr>
          <w:t>Education and Care Services National Regulations</w:t>
        </w:r>
      </w:hyperlink>
      <w:r w:rsidRPr="00D75B34">
        <w:rPr>
          <w:rFonts w:asciiTheme="majorHAnsi" w:hAnsiTheme="majorHAnsi" w:cstheme="majorHAnsi"/>
          <w:sz w:val="20"/>
          <w:szCs w:val="20"/>
        </w:rPr>
        <w:t xml:space="preserve">. (2011).     </w:t>
      </w:r>
      <w:r w:rsidRPr="00D75B34">
        <w:rPr>
          <w:rFonts w:asciiTheme="majorHAnsi" w:hAnsiTheme="majorHAnsi" w:cstheme="majorHAnsi"/>
          <w:b/>
          <w:sz w:val="20"/>
          <w:szCs w:val="20"/>
        </w:rPr>
        <w:br/>
      </w:r>
      <w:r w:rsidRPr="00D75B34">
        <w:rPr>
          <w:rFonts w:asciiTheme="majorHAnsi" w:hAnsiTheme="majorHAnsi" w:cstheme="majorHAnsi"/>
          <w:sz w:val="20"/>
          <w:szCs w:val="20"/>
        </w:rPr>
        <w:t>Education and Care Services National Law and the Education and Care Services National Regulations. (2017).</w:t>
      </w:r>
    </w:p>
    <w:p w14:paraId="3F906E96" w14:textId="77777777" w:rsidR="00D75B34" w:rsidRPr="00D75B34" w:rsidRDefault="00D75B34" w:rsidP="00D75B34">
      <w:pPr>
        <w:spacing w:after="0" w:line="276" w:lineRule="auto"/>
        <w:rPr>
          <w:rFonts w:asciiTheme="majorHAnsi" w:hAnsiTheme="majorHAnsi" w:cstheme="majorHAnsi"/>
          <w:sz w:val="20"/>
          <w:szCs w:val="20"/>
        </w:rPr>
      </w:pPr>
      <w:r w:rsidRPr="00D75B34">
        <w:rPr>
          <w:rFonts w:asciiTheme="majorHAnsi" w:hAnsiTheme="majorHAnsi" w:cstheme="majorHAnsi"/>
          <w:sz w:val="20"/>
          <w:szCs w:val="20"/>
        </w:rPr>
        <w:t>Revised National Quality Framework. (2017). (Amended 2020).</w:t>
      </w:r>
    </w:p>
    <w:p w14:paraId="1B2361AB" w14:textId="22EF5978" w:rsidR="00950725" w:rsidRPr="00251FF4" w:rsidRDefault="00D75B34" w:rsidP="00D75B34">
      <w:pPr>
        <w:spacing w:line="360" w:lineRule="auto"/>
        <w:rPr>
          <w:rFonts w:asciiTheme="majorHAnsi" w:hAnsiTheme="majorHAnsi"/>
          <w:b/>
        </w:rPr>
      </w:pPr>
      <w:r w:rsidRPr="00D75B34">
        <w:rPr>
          <w:rFonts w:asciiTheme="majorHAnsi" w:hAnsiTheme="majorHAnsi" w:cstheme="majorHAnsi"/>
          <w:sz w:val="20"/>
          <w:szCs w:val="20"/>
        </w:rPr>
        <w:t>Revised National Quality Standard. (2018)</w:t>
      </w:r>
      <w:r w:rsidRPr="00562A49">
        <w:rPr>
          <w:rFonts w:asciiTheme="majorHAnsi" w:hAnsiTheme="majorHAnsi" w:cstheme="majorHAnsi"/>
        </w:rPr>
        <w:t xml:space="preserve"> </w:t>
      </w:r>
      <w:r w:rsidRPr="00562A49">
        <w:rPr>
          <w:rFonts w:asciiTheme="majorHAnsi" w:hAnsiTheme="majorHAnsi" w:cstheme="majorHAnsi"/>
          <w:b/>
        </w:rPr>
        <w:br/>
      </w:r>
    </w:p>
    <w:p w14:paraId="11830C29" w14:textId="5DE587F2" w:rsidR="00251FF4" w:rsidRPr="00950725" w:rsidRDefault="00B64AB4" w:rsidP="00AB6E01">
      <w:pPr>
        <w:spacing w:line="360" w:lineRule="auto"/>
        <w:rPr>
          <w:rFonts w:asciiTheme="majorHAnsi" w:hAnsiTheme="majorHAnsi"/>
          <w:bCs/>
          <w:i/>
          <w:sz w:val="18"/>
          <w:szCs w:val="18"/>
          <w:lang w:val="en-US"/>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64"/>
        <w:gridCol w:w="2187"/>
      </w:tblGrid>
      <w:tr w:rsidR="00E92B88" w:rsidRPr="00151775" w14:paraId="4A66CDF7" w14:textId="77777777" w:rsidTr="00133E65">
        <w:trPr>
          <w:trHeight w:val="574"/>
        </w:trPr>
        <w:tc>
          <w:tcPr>
            <w:tcW w:w="2235" w:type="dxa"/>
            <w:shd w:val="clear" w:color="auto" w:fill="F2F2F2" w:themeFill="background1" w:themeFillShade="F2"/>
            <w:vAlign w:val="center"/>
          </w:tcPr>
          <w:p w14:paraId="2F90BED8" w14:textId="2A737239" w:rsidR="00E92B88" w:rsidRDefault="00E92B88" w:rsidP="00251FF4">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5EF63970" w14:textId="6BF14481" w:rsidR="00E92B88" w:rsidRDefault="00E92B88" w:rsidP="00251FF4">
            <w:pPr>
              <w:rPr>
                <w:rFonts w:asciiTheme="majorHAnsi" w:hAnsiTheme="majorHAnsi"/>
                <w:sz w:val="24"/>
                <w:szCs w:val="24"/>
              </w:rPr>
            </w:pPr>
            <w:r>
              <w:rPr>
                <w:rFonts w:asciiTheme="majorHAnsi" w:hAnsiTheme="majorHAnsi"/>
                <w:sz w:val="24"/>
                <w:szCs w:val="24"/>
              </w:rPr>
              <w:t>Haidee Cheesewright</w:t>
            </w:r>
          </w:p>
        </w:tc>
        <w:tc>
          <w:tcPr>
            <w:tcW w:w="2438" w:type="dxa"/>
            <w:gridSpan w:val="2"/>
            <w:shd w:val="clear" w:color="auto" w:fill="D9D9D9" w:themeFill="background1" w:themeFillShade="D9"/>
            <w:vAlign w:val="center"/>
          </w:tcPr>
          <w:p w14:paraId="270656C7" w14:textId="0EE40164" w:rsidR="00E92B88" w:rsidRDefault="00E92B88" w:rsidP="00251FF4">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2187" w:type="dxa"/>
            <w:shd w:val="clear" w:color="auto" w:fill="D9D9D9" w:themeFill="background1" w:themeFillShade="D9"/>
            <w:vAlign w:val="center"/>
          </w:tcPr>
          <w:p w14:paraId="393BE902" w14:textId="415A3BB1" w:rsidR="00E92B88" w:rsidRDefault="00E92B88" w:rsidP="00251FF4">
            <w:pPr>
              <w:rPr>
                <w:rFonts w:asciiTheme="majorHAnsi" w:hAnsiTheme="majorHAnsi"/>
                <w:sz w:val="24"/>
                <w:szCs w:val="24"/>
              </w:rPr>
            </w:pPr>
            <w:r>
              <w:rPr>
                <w:rFonts w:asciiTheme="majorHAnsi" w:hAnsiTheme="majorHAnsi"/>
                <w:sz w:val="24"/>
                <w:szCs w:val="24"/>
              </w:rPr>
              <w:t>18.05.22</w:t>
            </w:r>
          </w:p>
        </w:tc>
      </w:tr>
      <w:tr w:rsidR="00562A49" w:rsidRPr="00151775" w14:paraId="58E2D09C" w14:textId="77777777" w:rsidTr="00133E65">
        <w:trPr>
          <w:trHeight w:val="574"/>
        </w:trPr>
        <w:tc>
          <w:tcPr>
            <w:tcW w:w="2235" w:type="dxa"/>
            <w:shd w:val="clear" w:color="auto" w:fill="F2F2F2" w:themeFill="background1" w:themeFillShade="F2"/>
            <w:vAlign w:val="center"/>
          </w:tcPr>
          <w:p w14:paraId="76E75F7B" w14:textId="1F190B0F" w:rsidR="00562A49" w:rsidRPr="009C4400" w:rsidRDefault="00562A49" w:rsidP="00251FF4">
            <w:pPr>
              <w:rPr>
                <w:rFonts w:ascii="Calibri Light" w:hAnsi="Calibri Light"/>
                <w:color w:val="000000" w:themeColor="text1"/>
                <w:sz w:val="24"/>
                <w:szCs w:val="24"/>
              </w:rPr>
            </w:pPr>
            <w:r>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2546F1D0" w14:textId="4BFA4DD2" w:rsidR="00562A49" w:rsidRDefault="002A2BD6" w:rsidP="00251FF4">
            <w:pPr>
              <w:rPr>
                <w:rFonts w:asciiTheme="majorHAnsi" w:hAnsiTheme="majorHAnsi"/>
                <w:sz w:val="24"/>
                <w:szCs w:val="24"/>
              </w:rPr>
            </w:pPr>
            <w:r>
              <w:rPr>
                <w:rFonts w:asciiTheme="majorHAnsi" w:hAnsiTheme="majorHAnsi"/>
                <w:sz w:val="24"/>
                <w:szCs w:val="24"/>
              </w:rPr>
              <w:t>MAY</w:t>
            </w:r>
            <w:r w:rsidR="00133E65">
              <w:rPr>
                <w:rFonts w:asciiTheme="majorHAnsi" w:hAnsiTheme="majorHAnsi"/>
                <w:sz w:val="24"/>
                <w:szCs w:val="24"/>
              </w:rPr>
              <w:t xml:space="preserve"> 202</w:t>
            </w:r>
            <w:r w:rsidR="00762191">
              <w:rPr>
                <w:rFonts w:asciiTheme="majorHAnsi" w:hAnsiTheme="majorHAnsi"/>
                <w:sz w:val="24"/>
                <w:szCs w:val="24"/>
              </w:rPr>
              <w:t>2</w:t>
            </w:r>
          </w:p>
        </w:tc>
        <w:tc>
          <w:tcPr>
            <w:tcW w:w="2438" w:type="dxa"/>
            <w:gridSpan w:val="2"/>
            <w:shd w:val="clear" w:color="auto" w:fill="D9D9D9" w:themeFill="background1" w:themeFillShade="D9"/>
            <w:vAlign w:val="center"/>
          </w:tcPr>
          <w:p w14:paraId="2DB7836B" w14:textId="64F439C2" w:rsidR="00562A49" w:rsidRPr="009C4400" w:rsidRDefault="00562A49" w:rsidP="00251FF4">
            <w:pPr>
              <w:rPr>
                <w:rFonts w:ascii="Calibri Light" w:hAnsi="Calibri Light"/>
                <w:color w:val="000000" w:themeColor="text1"/>
                <w:sz w:val="24"/>
                <w:szCs w:val="24"/>
              </w:rPr>
            </w:pPr>
            <w:r>
              <w:rPr>
                <w:rFonts w:ascii="Calibri Light" w:hAnsi="Calibri Light"/>
                <w:color w:val="000000" w:themeColor="text1"/>
                <w:sz w:val="24"/>
                <w:szCs w:val="24"/>
              </w:rPr>
              <w:t>NEXT REVIEW DATE</w:t>
            </w:r>
          </w:p>
        </w:tc>
        <w:tc>
          <w:tcPr>
            <w:tcW w:w="2187" w:type="dxa"/>
            <w:shd w:val="clear" w:color="auto" w:fill="D9D9D9" w:themeFill="background1" w:themeFillShade="D9"/>
            <w:vAlign w:val="center"/>
          </w:tcPr>
          <w:p w14:paraId="743964F4" w14:textId="7521325D" w:rsidR="00562A49" w:rsidRDefault="002A2BD6" w:rsidP="00251FF4">
            <w:pPr>
              <w:rPr>
                <w:rFonts w:asciiTheme="majorHAnsi" w:hAnsiTheme="majorHAnsi"/>
                <w:sz w:val="24"/>
                <w:szCs w:val="24"/>
              </w:rPr>
            </w:pPr>
            <w:r>
              <w:rPr>
                <w:rFonts w:asciiTheme="majorHAnsi" w:hAnsiTheme="majorHAnsi"/>
                <w:sz w:val="24"/>
                <w:szCs w:val="24"/>
              </w:rPr>
              <w:t>MAY</w:t>
            </w:r>
            <w:r w:rsidR="00133E65">
              <w:rPr>
                <w:rFonts w:asciiTheme="majorHAnsi" w:hAnsiTheme="majorHAnsi"/>
                <w:sz w:val="24"/>
                <w:szCs w:val="24"/>
              </w:rPr>
              <w:t xml:space="preserve"> 202</w:t>
            </w:r>
            <w:r w:rsidR="00762191">
              <w:rPr>
                <w:rFonts w:asciiTheme="majorHAnsi" w:hAnsiTheme="majorHAnsi"/>
                <w:sz w:val="24"/>
                <w:szCs w:val="24"/>
              </w:rPr>
              <w:t>3</w:t>
            </w:r>
          </w:p>
        </w:tc>
      </w:tr>
      <w:tr w:rsidR="00562A49" w:rsidRPr="00151775" w14:paraId="229B8FBC" w14:textId="77777777" w:rsidTr="00562A49">
        <w:trPr>
          <w:trHeight w:val="574"/>
        </w:trPr>
        <w:tc>
          <w:tcPr>
            <w:tcW w:w="2235" w:type="dxa"/>
            <w:shd w:val="clear" w:color="auto" w:fill="FFFFFF" w:themeFill="background1"/>
            <w:vAlign w:val="center"/>
          </w:tcPr>
          <w:p w14:paraId="550EB79A" w14:textId="74B3791F" w:rsidR="00562A49" w:rsidRPr="002A2BD6" w:rsidRDefault="00562A49" w:rsidP="00251FF4">
            <w:pPr>
              <w:rPr>
                <w:rFonts w:ascii="Calibri Light" w:hAnsi="Calibri Light"/>
                <w:color w:val="000000" w:themeColor="text1"/>
                <w:sz w:val="24"/>
                <w:szCs w:val="24"/>
              </w:rPr>
            </w:pPr>
            <w:r w:rsidRPr="002A2BD6">
              <w:rPr>
                <w:rFonts w:ascii="Calibri Light" w:hAnsi="Calibri Light"/>
                <w:color w:val="000000" w:themeColor="text1"/>
                <w:sz w:val="24"/>
                <w:szCs w:val="24"/>
              </w:rPr>
              <w:t>MODIFICATIONS</w:t>
            </w:r>
          </w:p>
        </w:tc>
        <w:tc>
          <w:tcPr>
            <w:tcW w:w="6751" w:type="dxa"/>
            <w:gridSpan w:val="4"/>
            <w:shd w:val="clear" w:color="auto" w:fill="FFFFFF" w:themeFill="background1"/>
            <w:vAlign w:val="center"/>
          </w:tcPr>
          <w:p w14:paraId="211C92C8" w14:textId="77777777" w:rsidR="00E92B88" w:rsidRPr="00E92B88" w:rsidRDefault="00E92B88" w:rsidP="00E92B88">
            <w:pPr>
              <w:pStyle w:val="ListParagraph"/>
              <w:numPr>
                <w:ilvl w:val="0"/>
                <w:numId w:val="34"/>
              </w:numPr>
              <w:rPr>
                <w:rFonts w:asciiTheme="majorHAnsi" w:hAnsiTheme="majorHAnsi"/>
                <w:sz w:val="24"/>
                <w:szCs w:val="24"/>
              </w:rPr>
            </w:pPr>
            <w:r w:rsidRPr="00E92B88">
              <w:rPr>
                <w:rFonts w:asciiTheme="majorHAnsi" w:hAnsiTheme="majorHAnsi"/>
                <w:sz w:val="24"/>
                <w:szCs w:val="24"/>
              </w:rPr>
              <w:t>Updated reference to Department of Education, Skills and Employment and Family Law in policy</w:t>
            </w:r>
          </w:p>
          <w:p w14:paraId="6037B6E1" w14:textId="77777777" w:rsidR="00E92B88" w:rsidRPr="00E92B88" w:rsidRDefault="00E92B88" w:rsidP="00E92B88">
            <w:pPr>
              <w:pStyle w:val="ListParagraph"/>
              <w:numPr>
                <w:ilvl w:val="0"/>
                <w:numId w:val="34"/>
              </w:numPr>
              <w:rPr>
                <w:rFonts w:asciiTheme="majorHAnsi" w:hAnsiTheme="majorHAnsi"/>
                <w:sz w:val="24"/>
                <w:szCs w:val="24"/>
              </w:rPr>
            </w:pPr>
            <w:r w:rsidRPr="00E92B88">
              <w:rPr>
                <w:rFonts w:asciiTheme="majorHAnsi" w:hAnsiTheme="majorHAnsi"/>
                <w:sz w:val="24"/>
                <w:szCs w:val="24"/>
              </w:rPr>
              <w:t xml:space="preserve">Updated sources/links to DESE </w:t>
            </w:r>
          </w:p>
          <w:p w14:paraId="16003FC8" w14:textId="546FC6BB" w:rsidR="00443EFA" w:rsidRPr="002A2BD6" w:rsidRDefault="00E92B88" w:rsidP="00E92B88">
            <w:pPr>
              <w:pStyle w:val="ListParagraph"/>
              <w:numPr>
                <w:ilvl w:val="0"/>
                <w:numId w:val="34"/>
              </w:numPr>
              <w:rPr>
                <w:rFonts w:asciiTheme="majorHAnsi" w:hAnsiTheme="majorHAnsi"/>
                <w:sz w:val="24"/>
                <w:szCs w:val="24"/>
              </w:rPr>
            </w:pPr>
            <w:r w:rsidRPr="00E92B88">
              <w:rPr>
                <w:rFonts w:asciiTheme="majorHAnsi" w:hAnsiTheme="majorHAnsi"/>
                <w:sz w:val="24"/>
                <w:szCs w:val="24"/>
              </w:rPr>
              <w:t>minor edits</w:t>
            </w:r>
          </w:p>
        </w:tc>
      </w:tr>
      <w:tr w:rsidR="00251FF4" w14:paraId="1D69A5AB" w14:textId="77777777" w:rsidTr="00251FF4">
        <w:trPr>
          <w:trHeight w:val="611"/>
        </w:trPr>
        <w:tc>
          <w:tcPr>
            <w:tcW w:w="2235" w:type="dxa"/>
            <w:shd w:val="clear" w:color="auto" w:fill="E7E6E6" w:themeFill="background2"/>
            <w:vAlign w:val="center"/>
          </w:tcPr>
          <w:p w14:paraId="623C6AB2" w14:textId="77777777" w:rsidR="00251FF4" w:rsidRDefault="00251FF4" w:rsidP="00251FF4">
            <w:pPr>
              <w:spacing w:line="360" w:lineRule="auto"/>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42D6147E" w14:textId="77777777" w:rsidR="00251FF4" w:rsidRPr="00552B14" w:rsidRDefault="00251FF4" w:rsidP="00251FF4">
            <w:pPr>
              <w:spacing w:line="360" w:lineRule="auto"/>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29DCF9D8" w14:textId="77777777" w:rsidR="00251FF4" w:rsidRPr="00552B14" w:rsidRDefault="00251FF4" w:rsidP="00251FF4">
            <w:pPr>
              <w:spacing w:line="360" w:lineRule="auto"/>
              <w:rPr>
                <w:rFonts w:ascii="Calibri Light" w:hAnsi="Calibri Light"/>
              </w:rPr>
            </w:pPr>
            <w:r w:rsidRPr="009C4400">
              <w:rPr>
                <w:rFonts w:ascii="Calibri Light" w:hAnsi="Calibri Light"/>
                <w:color w:val="000000" w:themeColor="text1"/>
                <w:sz w:val="24"/>
                <w:szCs w:val="24"/>
              </w:rPr>
              <w:t>NEXT REVIEW DATE</w:t>
            </w:r>
          </w:p>
        </w:tc>
      </w:tr>
      <w:tr w:rsidR="00133E65" w14:paraId="562037F9" w14:textId="77777777" w:rsidTr="002F7D4F">
        <w:trPr>
          <w:trHeight w:val="548"/>
        </w:trPr>
        <w:tc>
          <w:tcPr>
            <w:tcW w:w="2235" w:type="dxa"/>
            <w:vAlign w:val="center"/>
          </w:tcPr>
          <w:p w14:paraId="1F44CA67" w14:textId="2B93712D" w:rsidR="00133E65" w:rsidRPr="00133E65" w:rsidRDefault="002A2BD6" w:rsidP="00133E65">
            <w:pPr>
              <w:jc w:val="center"/>
              <w:rPr>
                <w:rFonts w:ascii="Calibri Light" w:hAnsi="Calibri Light"/>
                <w:color w:val="000000" w:themeColor="text1"/>
                <w:sz w:val="24"/>
                <w:szCs w:val="24"/>
              </w:rPr>
            </w:pPr>
            <w:r>
              <w:rPr>
                <w:rFonts w:ascii="Calibri Light" w:hAnsi="Calibri Light"/>
                <w:color w:val="000000" w:themeColor="text1"/>
                <w:sz w:val="24"/>
                <w:szCs w:val="24"/>
              </w:rPr>
              <w:lastRenderedPageBreak/>
              <w:t>MAY 202</w:t>
            </w:r>
            <w:r w:rsidR="00762191">
              <w:rPr>
                <w:rFonts w:ascii="Calibri Light" w:hAnsi="Calibri Light"/>
                <w:color w:val="000000" w:themeColor="text1"/>
                <w:sz w:val="24"/>
                <w:szCs w:val="24"/>
              </w:rPr>
              <w:t>1</w:t>
            </w:r>
          </w:p>
        </w:tc>
        <w:tc>
          <w:tcPr>
            <w:tcW w:w="4500" w:type="dxa"/>
            <w:gridSpan w:val="2"/>
            <w:vAlign w:val="center"/>
          </w:tcPr>
          <w:p w14:paraId="2D158CEA" w14:textId="526984BE" w:rsidR="00133E65" w:rsidRPr="00762191" w:rsidRDefault="00762191" w:rsidP="00762191">
            <w:pPr>
              <w:pStyle w:val="ListParagraph"/>
              <w:numPr>
                <w:ilvl w:val="0"/>
                <w:numId w:val="45"/>
              </w:numPr>
              <w:rPr>
                <w:rFonts w:ascii="Calibri Light" w:hAnsi="Calibri Light"/>
              </w:rPr>
            </w:pPr>
            <w:r w:rsidRPr="00762191">
              <w:rPr>
                <w:rFonts w:asciiTheme="majorHAnsi" w:hAnsiTheme="majorHAnsi"/>
              </w:rPr>
              <w:t>policy reviewed and sources checked for currency</w:t>
            </w:r>
            <w:r w:rsidR="002A2BD6" w:rsidRPr="00762191">
              <w:rPr>
                <w:rFonts w:ascii="Calibri Light" w:hAnsi="Calibri Light"/>
              </w:rPr>
              <w:br/>
            </w:r>
          </w:p>
        </w:tc>
        <w:tc>
          <w:tcPr>
            <w:tcW w:w="2251" w:type="dxa"/>
            <w:gridSpan w:val="2"/>
            <w:vAlign w:val="center"/>
          </w:tcPr>
          <w:p w14:paraId="2ECBA907" w14:textId="10674600" w:rsidR="00133E65" w:rsidRDefault="00762191" w:rsidP="00133E65">
            <w:pPr>
              <w:jc w:val="center"/>
              <w:rPr>
                <w:rFonts w:ascii="Calibri Light" w:hAnsi="Calibri Light"/>
                <w:color w:val="000000" w:themeColor="text1"/>
                <w:sz w:val="24"/>
                <w:szCs w:val="24"/>
              </w:rPr>
            </w:pPr>
            <w:r>
              <w:rPr>
                <w:rFonts w:ascii="Calibri Light" w:hAnsi="Calibri Light"/>
                <w:color w:val="000000" w:themeColor="text1"/>
                <w:sz w:val="24"/>
                <w:szCs w:val="24"/>
              </w:rPr>
              <w:t>MAY 2022</w:t>
            </w:r>
          </w:p>
        </w:tc>
      </w:tr>
    </w:tbl>
    <w:p w14:paraId="37CF1B70" w14:textId="185BB6DD" w:rsidR="00827566" w:rsidRDefault="00827566" w:rsidP="00AB6E01">
      <w:pPr>
        <w:spacing w:line="360" w:lineRule="auto"/>
        <w:rPr>
          <w:rFonts w:asciiTheme="majorHAnsi" w:hAnsiTheme="majorHAnsi" w:cs="Arial"/>
        </w:rPr>
      </w:pPr>
    </w:p>
    <w:p w14:paraId="699F1E56" w14:textId="77777777" w:rsidR="00251FF4" w:rsidRPr="00827566" w:rsidRDefault="00251FF4" w:rsidP="00AB6E01">
      <w:pPr>
        <w:spacing w:line="360" w:lineRule="auto"/>
        <w:rPr>
          <w:rFonts w:asciiTheme="majorHAnsi" w:hAnsiTheme="majorHAnsi" w:cs="Arial"/>
        </w:rPr>
      </w:pPr>
    </w:p>
    <w:p w14:paraId="4F2C4FC2" w14:textId="189218D3" w:rsidR="00E71E44" w:rsidRDefault="00E71E44" w:rsidP="00AB6E01">
      <w:pPr>
        <w:spacing w:line="360" w:lineRule="auto"/>
      </w:pPr>
    </w:p>
    <w:sectPr w:rsidR="00E71E44">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8461" w14:textId="77777777" w:rsidR="00DD1CC5" w:rsidRDefault="00DD1CC5">
      <w:pPr>
        <w:spacing w:after="0" w:line="240" w:lineRule="auto"/>
      </w:pPr>
      <w:r>
        <w:separator/>
      </w:r>
    </w:p>
  </w:endnote>
  <w:endnote w:type="continuationSeparator" w:id="0">
    <w:p w14:paraId="623549BD" w14:textId="77777777" w:rsidR="00DD1CC5" w:rsidRDefault="00DD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Hea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316616"/>
      <w:docPartObj>
        <w:docPartGallery w:val="Page Numbers (Bottom of Page)"/>
        <w:docPartUnique/>
      </w:docPartObj>
    </w:sdtPr>
    <w:sdtEndPr>
      <w:rPr>
        <w:rStyle w:val="PageNumber"/>
      </w:rPr>
    </w:sdtEndPr>
    <w:sdtContent>
      <w:p w14:paraId="2D1E4629" w14:textId="3EEC2B5F" w:rsidR="00133E65" w:rsidRDefault="00133E65"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D94B1" w14:textId="77777777" w:rsidR="00133E65" w:rsidRDefault="00133E65" w:rsidP="00133E6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567232"/>
      <w:docPartObj>
        <w:docPartGallery w:val="Page Numbers (Bottom of Page)"/>
        <w:docPartUnique/>
      </w:docPartObj>
    </w:sdtPr>
    <w:sdtEndPr>
      <w:rPr>
        <w:rStyle w:val="PageNumber"/>
      </w:rPr>
    </w:sdtEndPr>
    <w:sdtContent>
      <w:p w14:paraId="65415939" w14:textId="306D879A" w:rsidR="00133E65" w:rsidRDefault="00133E65"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F3BA8C" w14:textId="2A45F529" w:rsidR="00617192" w:rsidRDefault="00617192" w:rsidP="00133E65">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B266" w14:textId="77777777" w:rsidR="00DD1CC5" w:rsidRDefault="00DD1CC5">
      <w:pPr>
        <w:spacing w:after="0" w:line="240" w:lineRule="auto"/>
      </w:pPr>
      <w:r>
        <w:separator/>
      </w:r>
    </w:p>
  </w:footnote>
  <w:footnote w:type="continuationSeparator" w:id="0">
    <w:p w14:paraId="5D23F369" w14:textId="77777777" w:rsidR="00DD1CC5" w:rsidRDefault="00DD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32C5CE13" w:rsidR="00617192" w:rsidRDefault="002A2BD6">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6C85C38E">
              <wp:simplePos x="0" y="0"/>
              <wp:positionH relativeFrom="column">
                <wp:posOffset>-295275</wp:posOffset>
              </wp:positionH>
              <wp:positionV relativeFrom="paragraph">
                <wp:posOffset>-230505</wp:posOffset>
              </wp:positionV>
              <wp:extent cx="37909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909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7A4399" w14:textId="24125FB8" w:rsidR="00617192" w:rsidRPr="002A2BD6" w:rsidRDefault="002A2BD6" w:rsidP="00043BA2">
                          <w:pPr>
                            <w:rPr>
                              <w:rFonts w:ascii="Century Gothic" w:hAnsi="Century Gothic"/>
                              <w:color w:val="FFFFFF" w:themeColor="background1"/>
                              <w:sz w:val="28"/>
                              <w:szCs w:val="28"/>
                            </w:rPr>
                          </w:pPr>
                          <w:r w:rsidRPr="002A2BD6">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3.25pt;margin-top:-18.15pt;width:29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" filled="f" stroked="f">
              <v:textbox>
                <w:txbxContent>
                  <w:p w14:paraId="077A4399" w14:textId="24125FB8" w:rsidR="00617192" w:rsidRPr="002A2BD6" w:rsidRDefault="002A2BD6" w:rsidP="00043BA2">
                    <w:pPr>
                      <w:rPr>
                        <w:rFonts w:ascii="Century Gothic" w:hAnsi="Century Gothic"/>
                        <w:color w:val="FFFFFF" w:themeColor="background1"/>
                        <w:sz w:val="28"/>
                        <w:szCs w:val="28"/>
                      </w:rPr>
                    </w:pPr>
                    <w:r w:rsidRPr="002A2BD6">
                      <w:rPr>
                        <w:rFonts w:ascii="Century Gothic" w:hAnsi="Century Gothic"/>
                        <w:color w:val="FFFFFF" w:themeColor="background1"/>
                        <w:sz w:val="28"/>
                        <w:szCs w:val="28"/>
                      </w:rPr>
                      <w:t>The Secret Garden Preschool Unanderra</w:t>
                    </w:r>
                  </w:p>
                </w:txbxContent>
              </v:textbox>
            </v:shape>
          </w:pict>
        </mc:Fallback>
      </mc:AlternateContent>
    </w:r>
    <w:r w:rsidR="00617192"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193FAED7">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617192" w:rsidRPr="004A79B2" w:rsidRDefault="00617192"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515114F0" w14:textId="77777777" w:rsidR="00617192" w:rsidRPr="004A79B2" w:rsidRDefault="00617192" w:rsidP="00043BA2">
                    <w:pPr>
                      <w:ind w:firstLine="720"/>
                      <w:rPr>
                        <w:rFonts w:ascii="Calibri Light" w:hAnsi="Calibri Light"/>
                        <w:color w:val="1EA3C0"/>
                        <w:szCs w:val="18"/>
                      </w:rPr>
                    </w:pPr>
                  </w:p>
                </w:txbxContent>
              </v:textbox>
              <w10:wrap type="through"/>
            </v:rect>
          </w:pict>
        </mc:Fallback>
      </mc:AlternateContent>
    </w:r>
    <w:r w:rsidR="00617192"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53B1D44F">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617192" w:rsidRPr="00865E0A" w:rsidRDefault="00617192"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59D80F40" w14:textId="77777777" w:rsidR="00617192" w:rsidRPr="00865E0A" w:rsidRDefault="00617192"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FB4"/>
    <w:multiLevelType w:val="hybridMultilevel"/>
    <w:tmpl w:val="659201C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1CBA"/>
    <w:multiLevelType w:val="hybridMultilevel"/>
    <w:tmpl w:val="6BAC2D8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E3332"/>
    <w:multiLevelType w:val="hybridMultilevel"/>
    <w:tmpl w:val="703C217E"/>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629A1"/>
    <w:multiLevelType w:val="hybridMultilevel"/>
    <w:tmpl w:val="6070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2873"/>
    <w:multiLevelType w:val="hybridMultilevel"/>
    <w:tmpl w:val="DD42AA5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7277A"/>
    <w:multiLevelType w:val="hybridMultilevel"/>
    <w:tmpl w:val="6E4CB9C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36099B"/>
    <w:multiLevelType w:val="hybridMultilevel"/>
    <w:tmpl w:val="94FAB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56D2827"/>
    <w:multiLevelType w:val="hybridMultilevel"/>
    <w:tmpl w:val="2BE2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B1484"/>
    <w:multiLevelType w:val="hybridMultilevel"/>
    <w:tmpl w:val="A44EB1D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E2771"/>
    <w:multiLevelType w:val="hybridMultilevel"/>
    <w:tmpl w:val="8A64CA7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9E76C3"/>
    <w:multiLevelType w:val="hybridMultilevel"/>
    <w:tmpl w:val="D940E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104F73"/>
    <w:multiLevelType w:val="hybridMultilevel"/>
    <w:tmpl w:val="7B00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F5420"/>
    <w:multiLevelType w:val="hybridMultilevel"/>
    <w:tmpl w:val="EFBC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4C20B4"/>
    <w:multiLevelType w:val="hybridMultilevel"/>
    <w:tmpl w:val="88E8BD9C"/>
    <w:lvl w:ilvl="0" w:tplc="00000001">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614CDB"/>
    <w:multiLevelType w:val="hybridMultilevel"/>
    <w:tmpl w:val="B6D22206"/>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17340"/>
    <w:multiLevelType w:val="hybridMultilevel"/>
    <w:tmpl w:val="4E880682"/>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7" w15:restartNumberingAfterBreak="0">
    <w:nsid w:val="289A4FA6"/>
    <w:multiLevelType w:val="hybridMultilevel"/>
    <w:tmpl w:val="A3CC5F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8" w15:restartNumberingAfterBreak="0">
    <w:nsid w:val="2C737B85"/>
    <w:multiLevelType w:val="hybridMultilevel"/>
    <w:tmpl w:val="FE4AFB54"/>
    <w:lvl w:ilvl="0" w:tplc="66B248E2">
      <w:numFmt w:val="bullet"/>
      <w:lvlText w:val="•"/>
      <w:lvlJc w:val="left"/>
      <w:pPr>
        <w:ind w:left="1440" w:hanging="360"/>
      </w:pPr>
      <w:rPr>
        <w:rFonts w:ascii="Calibri Light" w:eastAsiaTheme="minorEastAsia" w:hAnsi="Calibri Light"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6E5FA9"/>
    <w:multiLevelType w:val="hybridMultilevel"/>
    <w:tmpl w:val="4D84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D77D6"/>
    <w:multiLevelType w:val="hybridMultilevel"/>
    <w:tmpl w:val="46CC6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B94B5D"/>
    <w:multiLevelType w:val="hybridMultilevel"/>
    <w:tmpl w:val="D3ACF32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78617E"/>
    <w:multiLevelType w:val="hybridMultilevel"/>
    <w:tmpl w:val="B17A27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00BE4"/>
    <w:multiLevelType w:val="hybridMultilevel"/>
    <w:tmpl w:val="B6F8D87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A04480"/>
    <w:multiLevelType w:val="hybridMultilevel"/>
    <w:tmpl w:val="5F62C49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B36621"/>
    <w:multiLevelType w:val="multilevel"/>
    <w:tmpl w:val="832CC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E25F92"/>
    <w:multiLevelType w:val="hybridMultilevel"/>
    <w:tmpl w:val="4D3A0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8A0BDD"/>
    <w:multiLevelType w:val="hybridMultilevel"/>
    <w:tmpl w:val="B758507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7B3DEE"/>
    <w:multiLevelType w:val="hybridMultilevel"/>
    <w:tmpl w:val="2054A6F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5E6EF3"/>
    <w:multiLevelType w:val="hybridMultilevel"/>
    <w:tmpl w:val="683A167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5CE86BC5"/>
    <w:multiLevelType w:val="hybridMultilevel"/>
    <w:tmpl w:val="6024A2E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9A79BA"/>
    <w:multiLevelType w:val="hybridMultilevel"/>
    <w:tmpl w:val="55A89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C3542A"/>
    <w:multiLevelType w:val="hybridMultilevel"/>
    <w:tmpl w:val="2B0E314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FD2E03"/>
    <w:multiLevelType w:val="hybridMultilevel"/>
    <w:tmpl w:val="96CCB508"/>
    <w:lvl w:ilvl="0" w:tplc="46FC98F0">
      <w:numFmt w:val="bullet"/>
      <w:lvlText w:val="-"/>
      <w:lvlJc w:val="left"/>
      <w:pPr>
        <w:ind w:left="108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AAF1676"/>
    <w:multiLevelType w:val="hybridMultilevel"/>
    <w:tmpl w:val="A89272D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D94432"/>
    <w:multiLevelType w:val="hybridMultilevel"/>
    <w:tmpl w:val="CDACD10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052F2F"/>
    <w:multiLevelType w:val="hybridMultilevel"/>
    <w:tmpl w:val="D786CC7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9616FC"/>
    <w:multiLevelType w:val="hybridMultilevel"/>
    <w:tmpl w:val="11F666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08295B"/>
    <w:multiLevelType w:val="hybridMultilevel"/>
    <w:tmpl w:val="65C0138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430441"/>
    <w:multiLevelType w:val="hybridMultilevel"/>
    <w:tmpl w:val="AA841BC4"/>
    <w:lvl w:ilvl="0" w:tplc="66B248E2">
      <w:numFmt w:val="bullet"/>
      <w:lvlText w:val="•"/>
      <w:lvlJc w:val="left"/>
      <w:pPr>
        <w:ind w:left="720" w:hanging="360"/>
      </w:pPr>
      <w:rPr>
        <w:rFonts w:ascii="Calibri Light" w:eastAsiaTheme="minorEastAsia" w:hAnsi="Calibri Ligh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44D2A"/>
    <w:multiLevelType w:val="hybridMultilevel"/>
    <w:tmpl w:val="EFD43936"/>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F68BF"/>
    <w:multiLevelType w:val="hybridMultilevel"/>
    <w:tmpl w:val="5ED6D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D567C7"/>
    <w:multiLevelType w:val="hybridMultilevel"/>
    <w:tmpl w:val="220A4FC8"/>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B5DA2"/>
    <w:multiLevelType w:val="hybridMultilevel"/>
    <w:tmpl w:val="B34271F2"/>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3851796">
    <w:abstractNumId w:val="7"/>
  </w:num>
  <w:num w:numId="2" w16cid:durableId="81075965">
    <w:abstractNumId w:val="37"/>
  </w:num>
  <w:num w:numId="3" w16cid:durableId="1541622649">
    <w:abstractNumId w:val="15"/>
  </w:num>
  <w:num w:numId="4" w16cid:durableId="1448114884">
    <w:abstractNumId w:val="16"/>
  </w:num>
  <w:num w:numId="5" w16cid:durableId="846210349">
    <w:abstractNumId w:val="17"/>
  </w:num>
  <w:num w:numId="6" w16cid:durableId="2119987196">
    <w:abstractNumId w:val="22"/>
  </w:num>
  <w:num w:numId="7" w16cid:durableId="16277733">
    <w:abstractNumId w:val="38"/>
  </w:num>
  <w:num w:numId="8" w16cid:durableId="875700000">
    <w:abstractNumId w:val="39"/>
  </w:num>
  <w:num w:numId="9" w16cid:durableId="1571887895">
    <w:abstractNumId w:val="23"/>
  </w:num>
  <w:num w:numId="10" w16cid:durableId="1070083220">
    <w:abstractNumId w:val="36"/>
  </w:num>
  <w:num w:numId="11" w16cid:durableId="863787155">
    <w:abstractNumId w:val="12"/>
  </w:num>
  <w:num w:numId="12" w16cid:durableId="1675767100">
    <w:abstractNumId w:val="19"/>
  </w:num>
  <w:num w:numId="13" w16cid:durableId="893540187">
    <w:abstractNumId w:val="40"/>
  </w:num>
  <w:num w:numId="14" w16cid:durableId="920604313">
    <w:abstractNumId w:val="28"/>
  </w:num>
  <w:num w:numId="15" w16cid:durableId="2006517074">
    <w:abstractNumId w:val="35"/>
  </w:num>
  <w:num w:numId="16" w16cid:durableId="1317882244">
    <w:abstractNumId w:val="30"/>
  </w:num>
  <w:num w:numId="17" w16cid:durableId="1904834498">
    <w:abstractNumId w:val="0"/>
  </w:num>
  <w:num w:numId="18" w16cid:durableId="1504708265">
    <w:abstractNumId w:val="13"/>
  </w:num>
  <w:num w:numId="19" w16cid:durableId="1200777497">
    <w:abstractNumId w:val="29"/>
  </w:num>
  <w:num w:numId="20" w16cid:durableId="182718636">
    <w:abstractNumId w:val="18"/>
  </w:num>
  <w:num w:numId="21" w16cid:durableId="1753968327">
    <w:abstractNumId w:val="43"/>
  </w:num>
  <w:num w:numId="22" w16cid:durableId="1043751265">
    <w:abstractNumId w:val="25"/>
  </w:num>
  <w:num w:numId="23" w16cid:durableId="48921921">
    <w:abstractNumId w:val="8"/>
  </w:num>
  <w:num w:numId="24" w16cid:durableId="666128251">
    <w:abstractNumId w:val="10"/>
  </w:num>
  <w:num w:numId="25" w16cid:durableId="635258844">
    <w:abstractNumId w:val="11"/>
  </w:num>
  <w:num w:numId="26" w16cid:durableId="21903338">
    <w:abstractNumId w:val="24"/>
  </w:num>
  <w:num w:numId="27" w16cid:durableId="1188567694">
    <w:abstractNumId w:val="42"/>
  </w:num>
  <w:num w:numId="28" w16cid:durableId="1808543606">
    <w:abstractNumId w:val="3"/>
  </w:num>
  <w:num w:numId="29" w16cid:durableId="618611977">
    <w:abstractNumId w:val="1"/>
  </w:num>
  <w:num w:numId="30" w16cid:durableId="803889493">
    <w:abstractNumId w:val="32"/>
  </w:num>
  <w:num w:numId="31" w16cid:durableId="314383874">
    <w:abstractNumId w:val="27"/>
  </w:num>
  <w:num w:numId="32" w16cid:durableId="307127206">
    <w:abstractNumId w:val="2"/>
  </w:num>
  <w:num w:numId="33" w16cid:durableId="2006474875">
    <w:abstractNumId w:val="4"/>
  </w:num>
  <w:num w:numId="34" w16cid:durableId="1627467142">
    <w:abstractNumId w:val="9"/>
  </w:num>
  <w:num w:numId="35" w16cid:durableId="308246418">
    <w:abstractNumId w:val="31"/>
  </w:num>
  <w:num w:numId="36" w16cid:durableId="1768841199">
    <w:abstractNumId w:val="5"/>
  </w:num>
  <w:num w:numId="37" w16cid:durableId="1513255557">
    <w:abstractNumId w:val="20"/>
  </w:num>
  <w:num w:numId="38" w16cid:durableId="1872186914">
    <w:abstractNumId w:val="34"/>
  </w:num>
  <w:num w:numId="39" w16cid:durableId="1653408517">
    <w:abstractNumId w:val="33"/>
  </w:num>
  <w:num w:numId="40" w16cid:durableId="102380015">
    <w:abstractNumId w:val="6"/>
  </w:num>
  <w:num w:numId="41" w16cid:durableId="468784206">
    <w:abstractNumId w:val="21"/>
  </w:num>
  <w:num w:numId="42" w16cid:durableId="1154645707">
    <w:abstractNumId w:val="41"/>
  </w:num>
  <w:num w:numId="43" w16cid:durableId="768232621">
    <w:abstractNumId w:val="44"/>
  </w:num>
  <w:num w:numId="44" w16cid:durableId="1054618505">
    <w:abstractNumId w:val="14"/>
  </w:num>
  <w:num w:numId="45" w16cid:durableId="56067151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31AA2"/>
    <w:rsid w:val="00043BA2"/>
    <w:rsid w:val="00072F95"/>
    <w:rsid w:val="00093E2D"/>
    <w:rsid w:val="000961DD"/>
    <w:rsid w:val="000A59E7"/>
    <w:rsid w:val="000E4FFD"/>
    <w:rsid w:val="00102D09"/>
    <w:rsid w:val="0010603C"/>
    <w:rsid w:val="00133E65"/>
    <w:rsid w:val="0015670C"/>
    <w:rsid w:val="00162F64"/>
    <w:rsid w:val="0016454A"/>
    <w:rsid w:val="0017339F"/>
    <w:rsid w:val="00180052"/>
    <w:rsid w:val="00195FBD"/>
    <w:rsid w:val="001F3400"/>
    <w:rsid w:val="00232C30"/>
    <w:rsid w:val="00247834"/>
    <w:rsid w:val="00251FF4"/>
    <w:rsid w:val="00252A7C"/>
    <w:rsid w:val="00266538"/>
    <w:rsid w:val="002A1B98"/>
    <w:rsid w:val="002A2BD6"/>
    <w:rsid w:val="002D25AB"/>
    <w:rsid w:val="002F7D4F"/>
    <w:rsid w:val="0030421D"/>
    <w:rsid w:val="0030772D"/>
    <w:rsid w:val="00330B19"/>
    <w:rsid w:val="00330D73"/>
    <w:rsid w:val="0035093D"/>
    <w:rsid w:val="00365045"/>
    <w:rsid w:val="0037293B"/>
    <w:rsid w:val="00375FB6"/>
    <w:rsid w:val="00376D3C"/>
    <w:rsid w:val="00385B5E"/>
    <w:rsid w:val="003A2333"/>
    <w:rsid w:val="00437482"/>
    <w:rsid w:val="00443EFA"/>
    <w:rsid w:val="0044631B"/>
    <w:rsid w:val="004665D2"/>
    <w:rsid w:val="004B2177"/>
    <w:rsid w:val="004B32F1"/>
    <w:rsid w:val="004D6D05"/>
    <w:rsid w:val="004D7A0C"/>
    <w:rsid w:val="00512251"/>
    <w:rsid w:val="0051671E"/>
    <w:rsid w:val="00524A28"/>
    <w:rsid w:val="00526974"/>
    <w:rsid w:val="00541A99"/>
    <w:rsid w:val="0056299C"/>
    <w:rsid w:val="00562A49"/>
    <w:rsid w:val="00570EC1"/>
    <w:rsid w:val="0057264F"/>
    <w:rsid w:val="00582FE2"/>
    <w:rsid w:val="005C4A12"/>
    <w:rsid w:val="005E45F8"/>
    <w:rsid w:val="005F0E85"/>
    <w:rsid w:val="00617192"/>
    <w:rsid w:val="0063582E"/>
    <w:rsid w:val="00637103"/>
    <w:rsid w:val="006802B7"/>
    <w:rsid w:val="006863BD"/>
    <w:rsid w:val="00687EC6"/>
    <w:rsid w:val="006C505F"/>
    <w:rsid w:val="006D150E"/>
    <w:rsid w:val="006D3121"/>
    <w:rsid w:val="006D6A6C"/>
    <w:rsid w:val="006F2C13"/>
    <w:rsid w:val="00711863"/>
    <w:rsid w:val="007474C4"/>
    <w:rsid w:val="00755950"/>
    <w:rsid w:val="00762191"/>
    <w:rsid w:val="00773358"/>
    <w:rsid w:val="00775BA7"/>
    <w:rsid w:val="007A41A1"/>
    <w:rsid w:val="007B6746"/>
    <w:rsid w:val="007C0A14"/>
    <w:rsid w:val="007D387D"/>
    <w:rsid w:val="00801E6F"/>
    <w:rsid w:val="00827566"/>
    <w:rsid w:val="008406BD"/>
    <w:rsid w:val="00853610"/>
    <w:rsid w:val="00883A05"/>
    <w:rsid w:val="008B6424"/>
    <w:rsid w:val="008C1DC5"/>
    <w:rsid w:val="008D07BA"/>
    <w:rsid w:val="008D134C"/>
    <w:rsid w:val="008D4415"/>
    <w:rsid w:val="00927663"/>
    <w:rsid w:val="00950725"/>
    <w:rsid w:val="00955503"/>
    <w:rsid w:val="009823F4"/>
    <w:rsid w:val="00991D61"/>
    <w:rsid w:val="009A0134"/>
    <w:rsid w:val="009A60ED"/>
    <w:rsid w:val="009A7257"/>
    <w:rsid w:val="009E4FDA"/>
    <w:rsid w:val="009F124F"/>
    <w:rsid w:val="00A055FB"/>
    <w:rsid w:val="00A22BC1"/>
    <w:rsid w:val="00A573D9"/>
    <w:rsid w:val="00A94486"/>
    <w:rsid w:val="00AA0CD0"/>
    <w:rsid w:val="00AB6E01"/>
    <w:rsid w:val="00AC21C0"/>
    <w:rsid w:val="00AC3CD2"/>
    <w:rsid w:val="00AC740D"/>
    <w:rsid w:val="00AD2993"/>
    <w:rsid w:val="00AD3C45"/>
    <w:rsid w:val="00AD62D8"/>
    <w:rsid w:val="00AF1B37"/>
    <w:rsid w:val="00AF5EDD"/>
    <w:rsid w:val="00B11219"/>
    <w:rsid w:val="00B17CA7"/>
    <w:rsid w:val="00B3559F"/>
    <w:rsid w:val="00B53552"/>
    <w:rsid w:val="00B64AB4"/>
    <w:rsid w:val="00B83635"/>
    <w:rsid w:val="00B92B17"/>
    <w:rsid w:val="00BA16EA"/>
    <w:rsid w:val="00BE086F"/>
    <w:rsid w:val="00BE5CE6"/>
    <w:rsid w:val="00C04213"/>
    <w:rsid w:val="00C0736E"/>
    <w:rsid w:val="00C1188E"/>
    <w:rsid w:val="00C254A4"/>
    <w:rsid w:val="00C3783A"/>
    <w:rsid w:val="00C86907"/>
    <w:rsid w:val="00C91FD1"/>
    <w:rsid w:val="00CA1F3D"/>
    <w:rsid w:val="00CB452A"/>
    <w:rsid w:val="00CE1FD8"/>
    <w:rsid w:val="00CE48F5"/>
    <w:rsid w:val="00D034AD"/>
    <w:rsid w:val="00D46EDE"/>
    <w:rsid w:val="00D73F97"/>
    <w:rsid w:val="00D75B34"/>
    <w:rsid w:val="00D82ED6"/>
    <w:rsid w:val="00D8793A"/>
    <w:rsid w:val="00D93E27"/>
    <w:rsid w:val="00DA6134"/>
    <w:rsid w:val="00DB5C4D"/>
    <w:rsid w:val="00DD1CC5"/>
    <w:rsid w:val="00DE600B"/>
    <w:rsid w:val="00DF18AB"/>
    <w:rsid w:val="00E16A69"/>
    <w:rsid w:val="00E64F09"/>
    <w:rsid w:val="00E659E0"/>
    <w:rsid w:val="00E71E44"/>
    <w:rsid w:val="00E909EB"/>
    <w:rsid w:val="00E92B88"/>
    <w:rsid w:val="00EA7B11"/>
    <w:rsid w:val="00ED6CC5"/>
    <w:rsid w:val="00EF3FE5"/>
    <w:rsid w:val="00F07DFF"/>
    <w:rsid w:val="00F535A0"/>
    <w:rsid w:val="00F82F65"/>
    <w:rsid w:val="00F85504"/>
    <w:rsid w:val="00FA2836"/>
    <w:rsid w:val="00FC3599"/>
    <w:rsid w:val="00FE1A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3E0D41"/>
  <w15:docId w15:val="{9C1314BF-C950-194A-A5E9-5FDA8A84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99"/>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paragraph" w:styleId="NormalWeb">
    <w:name w:val="Normal (Web)"/>
    <w:basedOn w:val="Normal"/>
    <w:uiPriority w:val="99"/>
    <w:unhideWhenUsed/>
    <w:rsid w:val="00AC74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133E65"/>
  </w:style>
  <w:style w:type="character" w:styleId="UnresolvedMention">
    <w:name w:val="Unresolved Mention"/>
    <w:basedOn w:val="DefaultParagraphFont"/>
    <w:uiPriority w:val="99"/>
    <w:semiHidden/>
    <w:unhideWhenUsed/>
    <w:rsid w:val="0013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saustralia.gov.au/individuals/services/centrelink/child-care-subsi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5</cp:revision>
  <cp:lastPrinted>2021-07-05T05:36:00Z</cp:lastPrinted>
  <dcterms:created xsi:type="dcterms:W3CDTF">2021-07-05T05:37:00Z</dcterms:created>
  <dcterms:modified xsi:type="dcterms:W3CDTF">2022-06-04T23:55:00Z</dcterms:modified>
</cp:coreProperties>
</file>