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E0B" w14:textId="77777777" w:rsidR="00F56633" w:rsidRPr="00A7573F" w:rsidRDefault="0047767B" w:rsidP="00A7573F">
      <w:pPr>
        <w:spacing w:after="0" w:line="276" w:lineRule="auto"/>
        <w:rPr>
          <w:rFonts w:asciiTheme="majorHAnsi" w:hAnsiTheme="majorHAnsi" w:cs="Times New Roman (Body CS)"/>
          <w:bCs/>
          <w:spacing w:val="20"/>
          <w:sz w:val="21"/>
          <w:szCs w:val="30"/>
        </w:rPr>
      </w:pPr>
      <w:r w:rsidRPr="00A7573F">
        <w:rPr>
          <w:rFonts w:asciiTheme="majorHAnsi" w:hAnsiTheme="majorHAnsi" w:cs="Times New Roman (Body CS)"/>
          <w:bCs/>
          <w:noProof/>
          <w:color w:val="000000" w:themeColor="text1"/>
          <w:spacing w:val="20"/>
          <w:sz w:val="44"/>
          <w:szCs w:val="44"/>
          <w:lang w:eastAsia="en-AU"/>
        </w:rPr>
        <w:t>BULLYING, DISCRIMINATION AND HARASSMENT</w:t>
      </w:r>
      <w:r w:rsidRPr="00A7573F">
        <w:rPr>
          <w:rFonts w:asciiTheme="majorHAnsi" w:hAnsiTheme="majorHAnsi" w:cs="Times New Roman (Body CS)"/>
          <w:bCs/>
          <w:color w:val="000000" w:themeColor="text1"/>
          <w:spacing w:val="20"/>
          <w:sz w:val="44"/>
          <w:szCs w:val="44"/>
        </w:rPr>
        <w:t xml:space="preserve"> POLICY</w:t>
      </w:r>
      <w:r w:rsidR="00A81408" w:rsidRPr="00A7573F">
        <w:rPr>
          <w:rFonts w:asciiTheme="majorHAnsi" w:hAnsiTheme="majorHAnsi" w:cs="Times New Roman (Body CS)"/>
          <w:bCs/>
          <w:spacing w:val="20"/>
          <w:sz w:val="44"/>
          <w:szCs w:val="44"/>
        </w:rPr>
        <w:br/>
      </w:r>
    </w:p>
    <w:p w14:paraId="308B71FC" w14:textId="3538D38E" w:rsidR="00C941B8" w:rsidRPr="00F56633" w:rsidRDefault="00C941B8" w:rsidP="00A7573F">
      <w:pPr>
        <w:spacing w:after="0" w:line="360" w:lineRule="auto"/>
        <w:rPr>
          <w:rFonts w:asciiTheme="majorHAnsi" w:hAnsiTheme="majorHAnsi" w:cs="Times New Roman (Body CS)"/>
          <w:bCs/>
          <w:spacing w:val="20"/>
          <w:sz w:val="46"/>
          <w:szCs w:val="46"/>
        </w:rPr>
      </w:pPr>
      <w:r w:rsidRPr="00C62D3B">
        <w:rPr>
          <w:rFonts w:asciiTheme="majorHAnsi" w:hAnsiTheme="majorHAnsi"/>
        </w:rPr>
        <w:t>Our Service is committed to creating a workplace with vision and meaningful direction, adhering to our code of conduct and practicing ethical behaviour to ensure a productive work environment free from bullying, discrimination, and/or harassment.</w:t>
      </w:r>
      <w:r w:rsidRPr="0020344E">
        <w:rPr>
          <w:rFonts w:asciiTheme="majorHAnsi" w:hAnsiTheme="majorHAnsi"/>
        </w:rPr>
        <w:t xml:space="preserve"> </w:t>
      </w:r>
    </w:p>
    <w:p w14:paraId="43A8BEC6" w14:textId="77777777" w:rsidR="00C941B8" w:rsidRPr="00136ABB" w:rsidRDefault="00C941B8" w:rsidP="00A7573F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14:paraId="0611F81B" w14:textId="12FFF9F1" w:rsidR="0045799A" w:rsidRPr="0036669C" w:rsidRDefault="00AF6C03" w:rsidP="00A7573F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>
        <w:rPr>
          <w:rFonts w:cs="Arial"/>
          <w:sz w:val="24"/>
          <w:szCs w:val="24"/>
          <w:lang w:val="en-US"/>
        </w:rPr>
        <w:t xml:space="preserve">NATIONAL QUALITY STANDARD </w:t>
      </w:r>
      <w:r w:rsidR="00344B89" w:rsidRPr="00344B89">
        <w:rPr>
          <w:rFonts w:cs="Arial"/>
          <w:sz w:val="24"/>
          <w:szCs w:val="24"/>
          <w:lang w:val="en-US"/>
        </w:rPr>
        <w:t>(NQS)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772"/>
        <w:gridCol w:w="1609"/>
        <w:gridCol w:w="6804"/>
      </w:tblGrid>
      <w:tr w:rsidR="0036669C" w:rsidRPr="00151775" w14:paraId="07560DF8" w14:textId="77777777" w:rsidTr="00E15F03">
        <w:trPr>
          <w:trHeight w:val="495"/>
        </w:trPr>
        <w:tc>
          <w:tcPr>
            <w:tcW w:w="9185" w:type="dxa"/>
            <w:gridSpan w:val="3"/>
            <w:shd w:val="clear" w:color="auto" w:fill="D9D9D9" w:themeFill="background1" w:themeFillShade="D9"/>
            <w:vAlign w:val="center"/>
          </w:tcPr>
          <w:p w14:paraId="62483640" w14:textId="179BB2AD" w:rsidR="0036669C" w:rsidRPr="00151775" w:rsidRDefault="0036669C" w:rsidP="00A81408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042A1">
              <w:t>Q</w:t>
            </w:r>
            <w:r w:rsidR="00A81408">
              <w:t xml:space="preserve">UALITY AREA </w:t>
            </w:r>
            <w:r w:rsidR="00C941B8">
              <w:t>4</w:t>
            </w:r>
            <w:r>
              <w:t xml:space="preserve">:  </w:t>
            </w:r>
            <w:r w:rsidR="00C941B8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STAFFING ARRANGEMENTS</w:t>
            </w:r>
          </w:p>
        </w:tc>
      </w:tr>
      <w:tr w:rsidR="00C941B8" w14:paraId="709C42F0" w14:textId="77777777" w:rsidTr="00E15F03">
        <w:trPr>
          <w:trHeight w:val="503"/>
        </w:trPr>
        <w:tc>
          <w:tcPr>
            <w:tcW w:w="772" w:type="dxa"/>
            <w:vAlign w:val="center"/>
          </w:tcPr>
          <w:p w14:paraId="0B6298F9" w14:textId="579C30CC" w:rsidR="00C941B8" w:rsidRPr="00C941B8" w:rsidRDefault="00C941B8" w:rsidP="00C941B8">
            <w:pPr>
              <w:jc w:val="center"/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4.2</w:t>
            </w:r>
          </w:p>
        </w:tc>
        <w:tc>
          <w:tcPr>
            <w:tcW w:w="1609" w:type="dxa"/>
            <w:vAlign w:val="center"/>
          </w:tcPr>
          <w:p w14:paraId="770D3442" w14:textId="5899A087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 xml:space="preserve">Professionalism </w:t>
            </w:r>
          </w:p>
        </w:tc>
        <w:tc>
          <w:tcPr>
            <w:tcW w:w="6804" w:type="dxa"/>
            <w:vAlign w:val="center"/>
          </w:tcPr>
          <w:p w14:paraId="0921CC03" w14:textId="3F3F21DB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Management, educators and staff are collaborative, respectful and ethical.</w:t>
            </w:r>
          </w:p>
        </w:tc>
      </w:tr>
      <w:tr w:rsidR="00C941B8" w14:paraId="141C76D6" w14:textId="77777777" w:rsidTr="00E15F03">
        <w:trPr>
          <w:trHeight w:val="993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EA46928" w14:textId="2245C249" w:rsidR="00C941B8" w:rsidRPr="00C941B8" w:rsidRDefault="00C941B8" w:rsidP="00C941B8">
            <w:pPr>
              <w:jc w:val="center"/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4.2.1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7462F700" w14:textId="1D2583DC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 xml:space="preserve">Professional collaboration 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3AAA22E" w14:textId="17F19EAC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Management, educators and staff work with mutual respect and collaboratively, and challenge and learn from each other, recognising each other’s strengths and skills.</w:t>
            </w:r>
          </w:p>
        </w:tc>
      </w:tr>
      <w:tr w:rsidR="00C941B8" w14:paraId="69AD9603" w14:textId="77777777" w:rsidTr="00E15F03">
        <w:trPr>
          <w:trHeight w:val="595"/>
        </w:trPr>
        <w:tc>
          <w:tcPr>
            <w:tcW w:w="772" w:type="dxa"/>
            <w:vAlign w:val="center"/>
          </w:tcPr>
          <w:p w14:paraId="74B75F73" w14:textId="3EFB2C59" w:rsidR="00C941B8" w:rsidRPr="00C941B8" w:rsidRDefault="00C941B8" w:rsidP="00C941B8">
            <w:pPr>
              <w:jc w:val="center"/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4.2.2</w:t>
            </w:r>
          </w:p>
        </w:tc>
        <w:tc>
          <w:tcPr>
            <w:tcW w:w="1609" w:type="dxa"/>
            <w:vAlign w:val="center"/>
          </w:tcPr>
          <w:p w14:paraId="39D5A594" w14:textId="0EE99454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 xml:space="preserve">Professional standards </w:t>
            </w:r>
          </w:p>
        </w:tc>
        <w:tc>
          <w:tcPr>
            <w:tcW w:w="6804" w:type="dxa"/>
            <w:vAlign w:val="center"/>
          </w:tcPr>
          <w:p w14:paraId="543E00B2" w14:textId="4B4B73A1" w:rsidR="00C941B8" w:rsidRPr="00C941B8" w:rsidRDefault="00C941B8" w:rsidP="00C941B8">
            <w:pPr>
              <w:rPr>
                <w:rFonts w:asciiTheme="majorHAnsi" w:hAnsiTheme="majorHAnsi"/>
              </w:rPr>
            </w:pPr>
            <w:r w:rsidRPr="00C941B8">
              <w:rPr>
                <w:rFonts w:asciiTheme="majorHAnsi" w:hAnsiTheme="majorHAnsi"/>
              </w:rPr>
              <w:t>Professional standards guide practice, interactions and relationships.</w:t>
            </w:r>
          </w:p>
        </w:tc>
      </w:tr>
    </w:tbl>
    <w:p w14:paraId="3D65A96C" w14:textId="0E074EEC" w:rsidR="005C5D1B" w:rsidRDefault="005D148A" w:rsidP="00E15F03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/>
      </w:r>
      <w:r w:rsidR="00E15F03" w:rsidRPr="00A7573F">
        <w:rPr>
          <w:rFonts w:cs="Arial"/>
          <w:sz w:val="24"/>
          <w:szCs w:val="24"/>
          <w:lang w:val="en-US"/>
        </w:rPr>
        <w:t>EDUCATION AND CARE SERVICES NATIONAL REGULATIONS</w:t>
      </w:r>
    </w:p>
    <w:p w14:paraId="496B748C" w14:textId="77777777" w:rsidR="00A7573F" w:rsidRPr="00A7573F" w:rsidRDefault="00A7573F" w:rsidP="00E15F0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1106"/>
        <w:gridCol w:w="8079"/>
      </w:tblGrid>
      <w:tr w:rsidR="005C5D1B" w14:paraId="16BA6169" w14:textId="77777777" w:rsidTr="00E15F03">
        <w:trPr>
          <w:trHeight w:val="504"/>
        </w:trPr>
        <w:tc>
          <w:tcPr>
            <w:tcW w:w="1106" w:type="dxa"/>
            <w:vAlign w:val="center"/>
          </w:tcPr>
          <w:p w14:paraId="2732C80C" w14:textId="1A5E11C3" w:rsidR="005C5D1B" w:rsidRPr="00A7573F" w:rsidRDefault="00E15F03" w:rsidP="00E15F03">
            <w:pPr>
              <w:jc w:val="center"/>
              <w:rPr>
                <w:rFonts w:asciiTheme="majorHAnsi" w:hAnsiTheme="majorHAnsi"/>
              </w:rPr>
            </w:pPr>
            <w:r w:rsidRPr="00A7573F">
              <w:rPr>
                <w:rFonts w:asciiTheme="majorHAnsi" w:hAnsiTheme="majorHAnsi"/>
              </w:rPr>
              <w:t>168</w:t>
            </w:r>
          </w:p>
        </w:tc>
        <w:tc>
          <w:tcPr>
            <w:tcW w:w="8079" w:type="dxa"/>
            <w:vAlign w:val="center"/>
          </w:tcPr>
          <w:p w14:paraId="623141E9" w14:textId="52589017" w:rsidR="005C5D1B" w:rsidRPr="00DB02C9" w:rsidRDefault="00E15F03" w:rsidP="00E15F03">
            <w:pPr>
              <w:rPr>
                <w:rFonts w:asciiTheme="majorHAnsi" w:hAnsiTheme="majorHAnsi"/>
              </w:rPr>
            </w:pPr>
            <w:r w:rsidRPr="00A7573F">
              <w:rPr>
                <w:rFonts w:asciiTheme="majorHAnsi" w:hAnsiTheme="majorHAnsi"/>
              </w:rPr>
              <w:t>Education and care services must have policies and procedures</w:t>
            </w:r>
          </w:p>
        </w:tc>
      </w:tr>
    </w:tbl>
    <w:p w14:paraId="5637E64B" w14:textId="77777777" w:rsidR="00E15F03" w:rsidRDefault="00E15F03" w:rsidP="00E15F03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50B07FA" w14:textId="3A62FD45" w:rsidR="005C5D1B" w:rsidRDefault="005D148A" w:rsidP="00E15F03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3A2333">
        <w:rPr>
          <w:rFonts w:cs="Arial"/>
          <w:sz w:val="24"/>
          <w:szCs w:val="24"/>
          <w:lang w:val="en-US"/>
        </w:rPr>
        <w:t xml:space="preserve">RELATED POLICIES </w:t>
      </w:r>
    </w:p>
    <w:p w14:paraId="029B14D0" w14:textId="77777777" w:rsidR="00A7573F" w:rsidRPr="003A2333" w:rsidRDefault="00A7573F" w:rsidP="00E15F03">
      <w:pPr>
        <w:spacing w:after="0" w:line="240" w:lineRule="auto"/>
        <w:rPr>
          <w:rFonts w:cs="Arial"/>
          <w:sz w:val="24"/>
          <w:szCs w:val="24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D148A" w14:paraId="4C82A415" w14:textId="77777777" w:rsidTr="00C941B8">
        <w:trPr>
          <w:trHeight w:val="1740"/>
        </w:trPr>
        <w:tc>
          <w:tcPr>
            <w:tcW w:w="4590" w:type="dxa"/>
            <w:vAlign w:val="center"/>
          </w:tcPr>
          <w:p w14:paraId="533EA75B" w14:textId="77777777" w:rsidR="00C941B8" w:rsidRPr="001212A6" w:rsidRDefault="00C941B8" w:rsidP="00C941B8">
            <w:pPr>
              <w:rPr>
                <w:rFonts w:ascii="Calibri Light" w:hAnsi="Calibri Light"/>
                <w:b/>
                <w:bCs/>
              </w:rPr>
            </w:pPr>
            <w:r w:rsidRPr="001212A6">
              <w:rPr>
                <w:rFonts w:ascii="Calibri Light" w:hAnsi="Calibri Light"/>
              </w:rPr>
              <w:t xml:space="preserve">Code of Conduct Policy </w:t>
            </w:r>
          </w:p>
          <w:p w14:paraId="25A73769" w14:textId="77777777" w:rsidR="00C941B8" w:rsidRPr="00A77941" w:rsidRDefault="00C941B8" w:rsidP="00C941B8">
            <w:pPr>
              <w:rPr>
                <w:rFonts w:ascii="Calibri Light" w:hAnsi="Calibri Light"/>
                <w:b/>
              </w:rPr>
            </w:pPr>
            <w:r w:rsidRPr="00A77941">
              <w:rPr>
                <w:rFonts w:ascii="Calibri Light" w:hAnsi="Calibri Light"/>
              </w:rPr>
              <w:t xml:space="preserve">Cyber Safety Policy </w:t>
            </w:r>
          </w:p>
          <w:p w14:paraId="1B057975" w14:textId="77777777" w:rsidR="00C941B8" w:rsidRPr="001212A6" w:rsidRDefault="00C941B8" w:rsidP="00C941B8">
            <w:pPr>
              <w:rPr>
                <w:rFonts w:ascii="Calibri Light" w:hAnsi="Calibri Light"/>
                <w:b/>
                <w:bCs/>
              </w:rPr>
            </w:pPr>
            <w:r w:rsidRPr="001212A6">
              <w:rPr>
                <w:rFonts w:ascii="Calibri Light" w:hAnsi="Calibri Light"/>
              </w:rPr>
              <w:t xml:space="preserve">Family Communication Policy </w:t>
            </w:r>
          </w:p>
          <w:p w14:paraId="3C114DD4" w14:textId="77777777" w:rsidR="00C941B8" w:rsidRDefault="00C941B8" w:rsidP="00C941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Health and Safety Policy </w:t>
            </w:r>
          </w:p>
          <w:p w14:paraId="7EE38D10" w14:textId="77777777" w:rsidR="00C941B8" w:rsidRDefault="00C941B8" w:rsidP="00C941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Interactions with Children, Family and Staff Policy </w:t>
            </w:r>
          </w:p>
          <w:p w14:paraId="16AF103E" w14:textId="5D32F402" w:rsidR="005D148A" w:rsidRPr="00C941B8" w:rsidRDefault="00C941B8" w:rsidP="00C941B8">
            <w:pPr>
              <w:rPr>
                <w:rFonts w:ascii="Calibri Light" w:hAnsi="Calibri Light"/>
                <w:b/>
                <w:bCs/>
              </w:rPr>
            </w:pPr>
            <w:r w:rsidRPr="001212A6">
              <w:rPr>
                <w:rFonts w:ascii="Calibri Light" w:hAnsi="Calibri Light"/>
              </w:rPr>
              <w:t xml:space="preserve">Multi-Cultural Policy </w:t>
            </w:r>
          </w:p>
        </w:tc>
        <w:tc>
          <w:tcPr>
            <w:tcW w:w="4590" w:type="dxa"/>
            <w:vAlign w:val="center"/>
          </w:tcPr>
          <w:p w14:paraId="3C081074" w14:textId="77777777" w:rsidR="00C941B8" w:rsidRPr="001212A6" w:rsidRDefault="00C941B8" w:rsidP="00C941B8">
            <w:pPr>
              <w:rPr>
                <w:rFonts w:ascii="Calibri Light" w:hAnsi="Calibri Light"/>
                <w:b/>
                <w:bCs/>
              </w:rPr>
            </w:pPr>
            <w:r w:rsidRPr="001212A6">
              <w:rPr>
                <w:rFonts w:ascii="Calibri Light" w:hAnsi="Calibri Light"/>
              </w:rPr>
              <w:t xml:space="preserve">Privacy and Confidentiality Policy </w:t>
            </w:r>
          </w:p>
          <w:p w14:paraId="1C6C08AF" w14:textId="77777777" w:rsidR="00C941B8" w:rsidRDefault="00C941B8" w:rsidP="00C941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Respect for Children Policy </w:t>
            </w:r>
          </w:p>
          <w:p w14:paraId="7795F38B" w14:textId="77777777" w:rsidR="00C941B8" w:rsidRPr="001212A6" w:rsidRDefault="00C941B8" w:rsidP="00C941B8">
            <w:pPr>
              <w:rPr>
                <w:rFonts w:ascii="Calibri Light" w:hAnsi="Calibri Light"/>
                <w:b/>
                <w:bCs/>
              </w:rPr>
            </w:pPr>
            <w:r w:rsidRPr="001212A6">
              <w:rPr>
                <w:rFonts w:ascii="Calibri Light" w:hAnsi="Calibri Light"/>
              </w:rPr>
              <w:t xml:space="preserve">Staffing Arrangements Policy </w:t>
            </w:r>
          </w:p>
          <w:p w14:paraId="4EAD10C2" w14:textId="77777777" w:rsidR="00C941B8" w:rsidRDefault="00C941B8" w:rsidP="00C941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Student and Volunteer Workers Policy </w:t>
            </w:r>
          </w:p>
          <w:p w14:paraId="76D59E1F" w14:textId="77777777" w:rsidR="005D148A" w:rsidRDefault="00C941B8" w:rsidP="00C941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Work Health and Safety Policy</w:t>
            </w:r>
          </w:p>
          <w:p w14:paraId="09C10251" w14:textId="1A1A1CF5" w:rsidR="00A7573F" w:rsidRPr="003A2333" w:rsidRDefault="00A7573F" w:rsidP="00C941B8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02F0408C" w14:textId="77777777" w:rsidR="00A81408" w:rsidRDefault="00A81408" w:rsidP="0036669C">
      <w:pPr>
        <w:spacing w:line="360" w:lineRule="auto"/>
        <w:rPr>
          <w:rFonts w:cs="Arial"/>
          <w:color w:val="22A1BB"/>
          <w:sz w:val="24"/>
          <w:szCs w:val="24"/>
          <w:lang w:val="en-US"/>
        </w:rPr>
      </w:pPr>
    </w:p>
    <w:p w14:paraId="33B5ECC3" w14:textId="77777777" w:rsidR="005D148A" w:rsidRPr="0045799A" w:rsidRDefault="005D148A" w:rsidP="005D148A">
      <w:pPr>
        <w:spacing w:line="360" w:lineRule="auto"/>
        <w:rPr>
          <w:rFonts w:asciiTheme="majorHAnsi" w:hAnsiTheme="majorHAnsi" w:cs="Arial"/>
        </w:rPr>
      </w:pPr>
      <w:r w:rsidRPr="009F124F">
        <w:rPr>
          <w:rFonts w:cs="Arial"/>
          <w:sz w:val="24"/>
          <w:szCs w:val="24"/>
        </w:rPr>
        <w:t>PURPOSE</w:t>
      </w:r>
    </w:p>
    <w:p w14:paraId="2C97D671" w14:textId="7F5E7736" w:rsidR="00C941B8" w:rsidRPr="00AB1C96" w:rsidRDefault="00C941B8" w:rsidP="00C941B8">
      <w:pPr>
        <w:spacing w:after="120" w:line="360" w:lineRule="auto"/>
        <w:rPr>
          <w:rFonts w:asciiTheme="majorHAnsi" w:hAnsiTheme="majorHAnsi" w:cstheme="minorHAnsi"/>
        </w:rPr>
      </w:pPr>
      <w:r w:rsidRPr="00AB1C96">
        <w:rPr>
          <w:rFonts w:asciiTheme="majorHAnsi" w:hAnsiTheme="majorHAnsi"/>
        </w:rPr>
        <w:t>We are committed to providing a safe and equitable workplace for all staff and educators. Bullying, discrimination</w:t>
      </w:r>
      <w:r>
        <w:rPr>
          <w:rFonts w:asciiTheme="majorHAnsi" w:hAnsiTheme="majorHAnsi"/>
        </w:rPr>
        <w:t>,</w:t>
      </w:r>
      <w:r w:rsidRPr="00AB1C96">
        <w:rPr>
          <w:rFonts w:asciiTheme="majorHAnsi" w:hAnsiTheme="majorHAnsi"/>
        </w:rPr>
        <w:t xml:space="preserve"> and harassment will not be tolerated under any circumstances. As part of this </w:t>
      </w:r>
      <w:r w:rsidR="005D1501" w:rsidRPr="00AB1C96">
        <w:rPr>
          <w:rFonts w:asciiTheme="majorHAnsi" w:hAnsiTheme="majorHAnsi"/>
        </w:rPr>
        <w:t>commitment,</w:t>
      </w:r>
      <w:r w:rsidRPr="00AB1C96">
        <w:rPr>
          <w:rFonts w:asciiTheme="majorHAnsi" w:hAnsiTheme="majorHAnsi"/>
        </w:rPr>
        <w:t xml:space="preserve"> we aim to prevent workplace bullying by adhering to the Early Childhood Code of Ethics, Fair Work requirements</w:t>
      </w:r>
      <w:r>
        <w:rPr>
          <w:rFonts w:asciiTheme="majorHAnsi" w:hAnsiTheme="majorHAnsi"/>
        </w:rPr>
        <w:t>,</w:t>
      </w:r>
      <w:r w:rsidRPr="00AB1C96">
        <w:rPr>
          <w:rFonts w:asciiTheme="majorHAnsi" w:hAnsiTheme="majorHAnsi"/>
        </w:rPr>
        <w:t xml:space="preserve"> and </w:t>
      </w:r>
      <w:r w:rsidRPr="00C62D3B">
        <w:rPr>
          <w:rFonts w:asciiTheme="majorHAnsi" w:hAnsiTheme="majorHAnsi"/>
        </w:rPr>
        <w:t xml:space="preserve">the Service </w:t>
      </w:r>
      <w:r w:rsidR="00A7573F">
        <w:rPr>
          <w:rFonts w:asciiTheme="majorHAnsi" w:hAnsiTheme="majorHAnsi"/>
        </w:rPr>
        <w:t xml:space="preserve">statement of </w:t>
      </w:r>
      <w:r w:rsidRPr="00C62D3B">
        <w:rPr>
          <w:rFonts w:asciiTheme="majorHAnsi" w:hAnsiTheme="majorHAnsi"/>
        </w:rPr>
        <w:t>philosophy, ensuring a safe workplace and the wellbeing of</w:t>
      </w:r>
      <w:r>
        <w:rPr>
          <w:rFonts w:asciiTheme="majorHAnsi" w:hAnsiTheme="majorHAnsi"/>
        </w:rPr>
        <w:t xml:space="preserve"> </w:t>
      </w:r>
      <w:r w:rsidRPr="00AB1C96">
        <w:rPr>
          <w:rFonts w:asciiTheme="majorHAnsi" w:hAnsiTheme="majorHAnsi"/>
        </w:rPr>
        <w:t xml:space="preserve">all staff and </w:t>
      </w:r>
      <w:r w:rsidR="00A7573F">
        <w:rPr>
          <w:rFonts w:asciiTheme="majorHAnsi" w:hAnsiTheme="majorHAnsi"/>
        </w:rPr>
        <w:t>e</w:t>
      </w:r>
      <w:r w:rsidRPr="00AB1C96">
        <w:rPr>
          <w:rFonts w:asciiTheme="majorHAnsi" w:hAnsiTheme="majorHAnsi"/>
        </w:rPr>
        <w:t xml:space="preserve">ducators employed at the Service. </w:t>
      </w:r>
    </w:p>
    <w:p w14:paraId="237FD65C" w14:textId="77777777" w:rsidR="00EE7225" w:rsidRDefault="00EE7225" w:rsidP="005D148A">
      <w:pPr>
        <w:spacing w:line="360" w:lineRule="auto"/>
        <w:rPr>
          <w:rFonts w:cs="Arial"/>
          <w:sz w:val="24"/>
          <w:szCs w:val="24"/>
        </w:rPr>
      </w:pPr>
    </w:p>
    <w:p w14:paraId="7960BCB1" w14:textId="78099AAD" w:rsidR="005D148A" w:rsidRDefault="005D148A" w:rsidP="00A7573F">
      <w:pPr>
        <w:spacing w:after="0" w:line="36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lastRenderedPageBreak/>
        <w:t>SCOPE</w:t>
      </w:r>
    </w:p>
    <w:p w14:paraId="4FC3CBC5" w14:textId="206B7AE2" w:rsidR="005D148A" w:rsidRPr="00C3140F" w:rsidRDefault="00C941B8" w:rsidP="00A7573F">
      <w:pPr>
        <w:spacing w:after="0" w:line="360" w:lineRule="auto"/>
        <w:rPr>
          <w:rFonts w:asciiTheme="majorHAnsi" w:hAnsiTheme="majorHAnsi"/>
        </w:rPr>
      </w:pPr>
      <w:r w:rsidRPr="00AB1C96">
        <w:rPr>
          <w:rFonts w:asciiTheme="majorHAnsi" w:hAnsiTheme="majorHAnsi"/>
        </w:rPr>
        <w:t>This policy applies to staff, management</w:t>
      </w:r>
      <w:r>
        <w:rPr>
          <w:rFonts w:asciiTheme="majorHAnsi" w:hAnsiTheme="majorHAnsi"/>
        </w:rPr>
        <w:t>,</w:t>
      </w:r>
      <w:r w:rsidRPr="00AB1C96">
        <w:rPr>
          <w:rFonts w:asciiTheme="majorHAnsi" w:hAnsiTheme="majorHAnsi"/>
        </w:rPr>
        <w:t xml:space="preserve"> and educators of the Service. </w:t>
      </w:r>
    </w:p>
    <w:p w14:paraId="20972E7F" w14:textId="77777777" w:rsidR="00A7573F" w:rsidRDefault="00A7573F" w:rsidP="00A7573F">
      <w:pPr>
        <w:spacing w:after="0" w:line="360" w:lineRule="auto"/>
        <w:rPr>
          <w:rFonts w:cs="Arial"/>
          <w:sz w:val="24"/>
          <w:szCs w:val="24"/>
        </w:rPr>
      </w:pPr>
    </w:p>
    <w:p w14:paraId="256D13FE" w14:textId="54C83B48" w:rsidR="005D148A" w:rsidRDefault="005D148A" w:rsidP="00A7573F">
      <w:pPr>
        <w:spacing w:after="0" w:line="36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t>IMPLEMENTATION</w:t>
      </w:r>
    </w:p>
    <w:p w14:paraId="6E17B9BD" w14:textId="77777777" w:rsidR="00A7573F" w:rsidRDefault="00C941B8" w:rsidP="00A7573F">
      <w:pPr>
        <w:spacing w:after="0" w:line="360" w:lineRule="auto"/>
        <w:rPr>
          <w:rFonts w:asciiTheme="majorHAnsi" w:hAnsiTheme="majorHAnsi"/>
        </w:rPr>
      </w:pPr>
      <w:r w:rsidRPr="00AB1C96">
        <w:rPr>
          <w:rFonts w:asciiTheme="majorHAnsi" w:hAnsiTheme="majorHAnsi"/>
        </w:rPr>
        <w:t xml:space="preserve">Everyone has a right not be bullied or harassed at work. Workplace bullying occurs when a person or group of people repeatedly behave unreasonably towards a worker or a group of workers, creating a risk </w:t>
      </w:r>
      <w:r w:rsidRPr="00F56633">
        <w:rPr>
          <w:rFonts w:asciiTheme="majorHAnsi" w:hAnsiTheme="majorHAnsi"/>
        </w:rPr>
        <w:t>to health, safety, and wellbeing.</w:t>
      </w:r>
      <w:r w:rsidRPr="00AB1C96">
        <w:rPr>
          <w:rFonts w:asciiTheme="majorHAnsi" w:hAnsiTheme="majorHAnsi"/>
        </w:rPr>
        <w:t xml:space="preserve"> </w:t>
      </w:r>
    </w:p>
    <w:p w14:paraId="172A541B" w14:textId="77777777" w:rsidR="00A7573F" w:rsidRDefault="00A7573F" w:rsidP="00A7573F">
      <w:pPr>
        <w:spacing w:after="0" w:line="360" w:lineRule="auto"/>
        <w:rPr>
          <w:rFonts w:asciiTheme="majorHAnsi" w:hAnsiTheme="majorHAnsi"/>
        </w:rPr>
      </w:pPr>
    </w:p>
    <w:p w14:paraId="36141CB7" w14:textId="1F3D8BD6" w:rsidR="00C941B8" w:rsidRPr="00AB1C96" w:rsidRDefault="00C941B8" w:rsidP="00A7573F">
      <w:pPr>
        <w:spacing w:after="0" w:line="360" w:lineRule="auto"/>
        <w:rPr>
          <w:rFonts w:asciiTheme="majorHAnsi" w:hAnsiTheme="majorHAnsi"/>
        </w:rPr>
      </w:pPr>
      <w:r w:rsidRPr="00A450A9">
        <w:rPr>
          <w:rFonts w:cstheme="minorHAnsi"/>
        </w:rPr>
        <w:t>Bullying</w:t>
      </w:r>
      <w:r w:rsidRPr="00AB1C96">
        <w:rPr>
          <w:rFonts w:asciiTheme="majorHAnsi" w:hAnsiTheme="majorHAnsi"/>
        </w:rPr>
        <w:t xml:space="preserve"> may involve any of the following types of behaviour:</w:t>
      </w:r>
    </w:p>
    <w:p w14:paraId="3C9E7624" w14:textId="391F85B4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941B8" w:rsidRPr="00AB1C96">
        <w:rPr>
          <w:rFonts w:asciiTheme="majorHAnsi" w:hAnsiTheme="majorHAnsi"/>
        </w:rPr>
        <w:t>ggressive or intimidating conduct</w:t>
      </w:r>
    </w:p>
    <w:p w14:paraId="26271EDE" w14:textId="7482E7CE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C941B8" w:rsidRPr="00F56633">
        <w:rPr>
          <w:rFonts w:asciiTheme="majorHAnsi" w:hAnsiTheme="majorHAnsi"/>
        </w:rPr>
        <w:t>aking belittling</w:t>
      </w:r>
      <w:r w:rsidR="00C941B8" w:rsidRPr="00AB1C96">
        <w:rPr>
          <w:rFonts w:asciiTheme="majorHAnsi" w:hAnsiTheme="majorHAnsi"/>
        </w:rPr>
        <w:t xml:space="preserve"> or humiliating comments</w:t>
      </w:r>
    </w:p>
    <w:p w14:paraId="45D7F1AE" w14:textId="073B20BB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941B8" w:rsidRPr="00AB1C96">
        <w:rPr>
          <w:rFonts w:asciiTheme="majorHAnsi" w:hAnsiTheme="majorHAnsi"/>
        </w:rPr>
        <w:t>preading malicious rumours</w:t>
      </w:r>
    </w:p>
    <w:p w14:paraId="085F818C" w14:textId="7B1C4F25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941B8" w:rsidRPr="00AB1C96">
        <w:rPr>
          <w:rFonts w:asciiTheme="majorHAnsi" w:hAnsiTheme="majorHAnsi"/>
        </w:rPr>
        <w:t xml:space="preserve">easing, practical jokes </w:t>
      </w:r>
      <w:r w:rsidR="00C941B8" w:rsidRPr="00F56633">
        <w:rPr>
          <w:rFonts w:asciiTheme="majorHAnsi" w:hAnsiTheme="majorHAnsi"/>
        </w:rPr>
        <w:t>or initiation of, or participation in ‘</w:t>
      </w:r>
      <w:r w:rsidR="00C941B8" w:rsidRPr="00AB1C96">
        <w:rPr>
          <w:rFonts w:asciiTheme="majorHAnsi" w:hAnsiTheme="majorHAnsi"/>
        </w:rPr>
        <w:t>initiation ceremonies’</w:t>
      </w:r>
    </w:p>
    <w:p w14:paraId="52F98976" w14:textId="3320843F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941B8" w:rsidRPr="00AB1C96">
        <w:rPr>
          <w:rFonts w:asciiTheme="majorHAnsi" w:hAnsiTheme="majorHAnsi"/>
        </w:rPr>
        <w:t>xclusion from work-related events</w:t>
      </w:r>
    </w:p>
    <w:p w14:paraId="4A1B5726" w14:textId="4D23DF02" w:rsidR="00C941B8" w:rsidRPr="00AB1C96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941B8" w:rsidRPr="00AB1C96">
        <w:rPr>
          <w:rFonts w:asciiTheme="majorHAnsi" w:hAnsiTheme="majorHAnsi"/>
        </w:rPr>
        <w:t>nreasonable work expectations</w:t>
      </w:r>
    </w:p>
    <w:p w14:paraId="7B9E785E" w14:textId="77777777" w:rsidR="00F56633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941B8" w:rsidRPr="00AB1C96">
        <w:rPr>
          <w:rFonts w:asciiTheme="majorHAnsi" w:hAnsiTheme="majorHAnsi"/>
        </w:rPr>
        <w:t xml:space="preserve">isplaying offensive </w:t>
      </w:r>
      <w:r w:rsidR="00C941B8" w:rsidRPr="00F56633">
        <w:rPr>
          <w:rFonts w:asciiTheme="majorHAnsi" w:hAnsiTheme="majorHAnsi"/>
        </w:rPr>
        <w:t>material, and/or</w:t>
      </w:r>
    </w:p>
    <w:p w14:paraId="4529A1AF" w14:textId="097CA37D" w:rsidR="00C941B8" w:rsidRPr="00F56633" w:rsidRDefault="00F56633" w:rsidP="00A7573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941B8" w:rsidRPr="00F56633">
        <w:rPr>
          <w:rFonts w:asciiTheme="majorHAnsi" w:hAnsiTheme="majorHAnsi"/>
        </w:rPr>
        <w:t xml:space="preserve">ressure to behave in an inappropriate manner. </w:t>
      </w:r>
    </w:p>
    <w:p w14:paraId="426167F1" w14:textId="2BA07A89" w:rsidR="00A450A9" w:rsidRDefault="00C941B8" w:rsidP="00C941B8">
      <w:pPr>
        <w:spacing w:line="360" w:lineRule="auto"/>
        <w:rPr>
          <w:rFonts w:asciiTheme="majorHAnsi" w:hAnsiTheme="majorHAnsi"/>
        </w:rPr>
      </w:pPr>
      <w:r w:rsidRPr="00AB1C96">
        <w:rPr>
          <w:rFonts w:asciiTheme="majorHAnsi" w:hAnsiTheme="majorHAnsi"/>
        </w:rPr>
        <w:t>Bullying does not include management action carried out in a reasonable manner</w:t>
      </w:r>
      <w:r w:rsidR="00A450A9">
        <w:rPr>
          <w:rFonts w:asciiTheme="majorHAnsi" w:hAnsiTheme="majorHAnsi"/>
        </w:rPr>
        <w:t xml:space="preserve"> including:</w:t>
      </w:r>
    </w:p>
    <w:p w14:paraId="2BA81A40" w14:textId="77777777" w:rsidR="00A450A9" w:rsidRPr="00A7573F" w:rsidRDefault="00A450A9" w:rsidP="007345FF">
      <w:pPr>
        <w:pStyle w:val="ListParagraph"/>
        <w:numPr>
          <w:ilvl w:val="1"/>
          <w:numId w:val="38"/>
        </w:numPr>
        <w:spacing w:line="360" w:lineRule="auto"/>
        <w:rPr>
          <w:rFonts w:asciiTheme="majorHAnsi" w:hAnsiTheme="majorHAnsi" w:cstheme="majorHAnsi"/>
        </w:rPr>
      </w:pPr>
      <w:r w:rsidRPr="00A7573F">
        <w:rPr>
          <w:rFonts w:asciiTheme="majorHAnsi" w:hAnsiTheme="majorHAnsi" w:cstheme="majorHAnsi"/>
        </w:rPr>
        <w:t>making decisions about poor performance</w:t>
      </w:r>
    </w:p>
    <w:p w14:paraId="6B03D91F" w14:textId="77777777" w:rsidR="00A450A9" w:rsidRPr="00A7573F" w:rsidRDefault="00A450A9" w:rsidP="007345FF">
      <w:pPr>
        <w:pStyle w:val="ListParagraph"/>
        <w:numPr>
          <w:ilvl w:val="1"/>
          <w:numId w:val="38"/>
        </w:numPr>
        <w:spacing w:line="360" w:lineRule="auto"/>
        <w:rPr>
          <w:rFonts w:asciiTheme="majorHAnsi" w:hAnsiTheme="majorHAnsi" w:cstheme="majorHAnsi"/>
        </w:rPr>
      </w:pPr>
      <w:r w:rsidRPr="00A7573F">
        <w:rPr>
          <w:rFonts w:asciiTheme="majorHAnsi" w:hAnsiTheme="majorHAnsi" w:cstheme="majorHAnsi"/>
        </w:rPr>
        <w:t xml:space="preserve">taking disciplinary action </w:t>
      </w:r>
    </w:p>
    <w:p w14:paraId="0DAD6C3B" w14:textId="77777777" w:rsidR="00A450A9" w:rsidRPr="00A7573F" w:rsidRDefault="00A450A9" w:rsidP="007345FF">
      <w:pPr>
        <w:pStyle w:val="ListParagraph"/>
        <w:numPr>
          <w:ilvl w:val="1"/>
          <w:numId w:val="38"/>
        </w:numPr>
        <w:spacing w:line="360" w:lineRule="auto"/>
        <w:rPr>
          <w:rFonts w:asciiTheme="majorHAnsi" w:hAnsiTheme="majorHAnsi" w:cstheme="majorHAnsi"/>
        </w:rPr>
      </w:pPr>
      <w:r w:rsidRPr="00A7573F">
        <w:rPr>
          <w:rFonts w:asciiTheme="majorHAnsi" w:hAnsiTheme="majorHAnsi" w:cstheme="majorHAnsi"/>
        </w:rPr>
        <w:t>directing and controlling the way work is to be carried out.</w:t>
      </w:r>
    </w:p>
    <w:p w14:paraId="6E147F85" w14:textId="398D319D" w:rsidR="00C941B8" w:rsidRPr="00F56633" w:rsidRDefault="00C941B8" w:rsidP="00C941B8">
      <w:pPr>
        <w:spacing w:line="360" w:lineRule="auto"/>
        <w:rPr>
          <w:rFonts w:asciiTheme="majorHAnsi" w:hAnsiTheme="majorHAnsi"/>
        </w:rPr>
      </w:pPr>
      <w:r w:rsidRPr="00A450A9">
        <w:rPr>
          <w:rFonts w:cstheme="minorHAnsi"/>
        </w:rPr>
        <w:t>Discrimination</w:t>
      </w:r>
      <w:r w:rsidRPr="00F56633">
        <w:rPr>
          <w:rFonts w:asciiTheme="majorHAnsi" w:hAnsiTheme="majorHAnsi"/>
        </w:rPr>
        <w:t xml:space="preserve"> occurs when someone is treated less favourably than others because of a particular characteristic (such as age, disability</w:t>
      </w:r>
      <w:r w:rsidR="00F56633" w:rsidRPr="00F56633">
        <w:rPr>
          <w:rFonts w:asciiTheme="majorHAnsi" w:hAnsiTheme="majorHAnsi"/>
        </w:rPr>
        <w:t xml:space="preserve"> </w:t>
      </w:r>
      <w:r w:rsidRPr="00F56633">
        <w:rPr>
          <w:rFonts w:asciiTheme="majorHAnsi" w:hAnsiTheme="majorHAnsi"/>
        </w:rPr>
        <w:t xml:space="preserve">or gender), or belong to a particular group within the population (due to, for example, religion, culture, or sexual orientation). </w:t>
      </w:r>
    </w:p>
    <w:p w14:paraId="236D162B" w14:textId="78B53703" w:rsidR="00C941B8" w:rsidRPr="00F56633" w:rsidRDefault="00C941B8" w:rsidP="00C941B8">
      <w:pPr>
        <w:spacing w:line="360" w:lineRule="auto"/>
        <w:rPr>
          <w:rFonts w:asciiTheme="majorHAnsi" w:hAnsiTheme="majorHAnsi"/>
        </w:rPr>
      </w:pPr>
      <w:r w:rsidRPr="00A450A9">
        <w:rPr>
          <w:rFonts w:cstheme="minorHAnsi"/>
        </w:rPr>
        <w:t xml:space="preserve">Harassment </w:t>
      </w:r>
      <w:r w:rsidRPr="00F56633">
        <w:rPr>
          <w:rFonts w:asciiTheme="majorHAnsi" w:hAnsiTheme="majorHAnsi"/>
        </w:rPr>
        <w:t xml:space="preserve">involves unwelcome behaviour that intimidates, offends or humiliates a person because of particular characteristics as listed above. </w:t>
      </w:r>
    </w:p>
    <w:p w14:paraId="5F822F64" w14:textId="4BD9E96C" w:rsidR="00B97CFC" w:rsidRPr="00A7573F" w:rsidRDefault="00C941B8" w:rsidP="00C941B8">
      <w:pPr>
        <w:spacing w:line="360" w:lineRule="auto"/>
        <w:rPr>
          <w:rFonts w:asciiTheme="majorHAnsi" w:hAnsiTheme="majorHAnsi"/>
        </w:rPr>
      </w:pPr>
      <w:r w:rsidRPr="00F56633">
        <w:rPr>
          <w:rFonts w:asciiTheme="majorHAnsi" w:hAnsiTheme="majorHAnsi"/>
        </w:rPr>
        <w:t>There are a number of anti-</w:t>
      </w:r>
      <w:proofErr w:type="gramStart"/>
      <w:r w:rsidRPr="00F56633">
        <w:rPr>
          <w:rFonts w:asciiTheme="majorHAnsi" w:hAnsiTheme="majorHAnsi"/>
        </w:rPr>
        <w:t>discrimination</w:t>
      </w:r>
      <w:proofErr w:type="gramEnd"/>
      <w:r w:rsidRPr="00F56633">
        <w:rPr>
          <w:rFonts w:asciiTheme="majorHAnsi" w:hAnsiTheme="majorHAnsi"/>
        </w:rPr>
        <w:t xml:space="preserve">, equal employment workplace relations, and human rights laws which make it illegal to discriminate or harass a person in the workplace. </w:t>
      </w:r>
      <w:r w:rsidR="00B97CFC" w:rsidRPr="00A7573F">
        <w:rPr>
          <w:rFonts w:asciiTheme="majorHAnsi" w:hAnsiTheme="majorHAnsi"/>
        </w:rPr>
        <w:t>Australia’s federal anti-discrimination laws are contained in the following legislation:</w:t>
      </w:r>
    </w:p>
    <w:p w14:paraId="01DCA323" w14:textId="059EEE0F" w:rsidR="00B97CFC" w:rsidRPr="00A7573F" w:rsidRDefault="0005566A" w:rsidP="00A7573F">
      <w:pPr>
        <w:spacing w:after="0" w:line="360" w:lineRule="auto"/>
        <w:rPr>
          <w:rFonts w:asciiTheme="majorHAnsi" w:hAnsiTheme="majorHAnsi"/>
        </w:rPr>
      </w:pPr>
      <w:hyperlink r:id="rId8" w:history="1">
        <w:r w:rsidR="00B97CFC" w:rsidRPr="00A7573F">
          <w:rPr>
            <w:rStyle w:val="Hyperlink"/>
            <w:rFonts w:asciiTheme="majorHAnsi" w:hAnsiTheme="majorHAnsi"/>
          </w:rPr>
          <w:t>Age Discrimination Act 2004</w:t>
        </w:r>
      </w:hyperlink>
    </w:p>
    <w:p w14:paraId="61B7E8DF" w14:textId="39680020" w:rsidR="00B97CFC" w:rsidRPr="00A7573F" w:rsidRDefault="0005566A" w:rsidP="00A7573F">
      <w:pPr>
        <w:spacing w:after="0" w:line="360" w:lineRule="auto"/>
        <w:rPr>
          <w:rFonts w:asciiTheme="majorHAnsi" w:hAnsiTheme="majorHAnsi"/>
        </w:rPr>
      </w:pPr>
      <w:hyperlink r:id="rId9" w:history="1">
        <w:r w:rsidR="00B97CFC" w:rsidRPr="00A7573F">
          <w:rPr>
            <w:rStyle w:val="Hyperlink"/>
            <w:rFonts w:asciiTheme="majorHAnsi" w:hAnsiTheme="majorHAnsi"/>
          </w:rPr>
          <w:t>Disability Discrimination Act 1992</w:t>
        </w:r>
      </w:hyperlink>
    </w:p>
    <w:p w14:paraId="20324D58" w14:textId="30A20D6C" w:rsidR="00B97CFC" w:rsidRPr="00A7573F" w:rsidRDefault="0005566A" w:rsidP="00A7573F">
      <w:pPr>
        <w:spacing w:after="0" w:line="360" w:lineRule="auto"/>
        <w:rPr>
          <w:rFonts w:asciiTheme="majorHAnsi" w:hAnsiTheme="majorHAnsi"/>
        </w:rPr>
      </w:pPr>
      <w:hyperlink r:id="rId10" w:history="1">
        <w:r w:rsidR="00B97CFC" w:rsidRPr="00A7573F">
          <w:rPr>
            <w:rStyle w:val="Hyperlink"/>
            <w:rFonts w:asciiTheme="majorHAnsi" w:hAnsiTheme="majorHAnsi"/>
          </w:rPr>
          <w:t>Racial Discrimination Act 1975</w:t>
        </w:r>
      </w:hyperlink>
    </w:p>
    <w:p w14:paraId="3D95CAB7" w14:textId="45A9EC6A" w:rsidR="00B97CFC" w:rsidRPr="00A7573F" w:rsidRDefault="0005566A" w:rsidP="00A7573F">
      <w:pPr>
        <w:spacing w:after="0" w:line="360" w:lineRule="auto"/>
        <w:rPr>
          <w:rFonts w:asciiTheme="majorHAnsi" w:hAnsiTheme="majorHAnsi"/>
        </w:rPr>
      </w:pPr>
      <w:hyperlink r:id="rId11" w:history="1">
        <w:r w:rsidR="00B97CFC" w:rsidRPr="00A7573F">
          <w:rPr>
            <w:rStyle w:val="Hyperlink"/>
            <w:rFonts w:asciiTheme="majorHAnsi" w:hAnsiTheme="majorHAnsi"/>
          </w:rPr>
          <w:t>Sex Discrimination Act 1984</w:t>
        </w:r>
      </w:hyperlink>
    </w:p>
    <w:p w14:paraId="7DA1F33A" w14:textId="77777777" w:rsidR="00A7573F" w:rsidRPr="00A7573F" w:rsidRDefault="00A7573F" w:rsidP="00A7573F">
      <w:pPr>
        <w:spacing w:after="0" w:line="360" w:lineRule="auto"/>
        <w:rPr>
          <w:rFonts w:asciiTheme="majorHAnsi" w:hAnsiTheme="majorHAnsi"/>
        </w:rPr>
      </w:pPr>
    </w:p>
    <w:p w14:paraId="0CB20465" w14:textId="2AC90A6E" w:rsidR="00C941B8" w:rsidRPr="00AB1C96" w:rsidRDefault="00C941B8" w:rsidP="00A7573F">
      <w:pPr>
        <w:spacing w:after="0" w:line="360" w:lineRule="auto"/>
        <w:rPr>
          <w:rFonts w:asciiTheme="majorHAnsi" w:hAnsiTheme="majorHAnsi"/>
        </w:rPr>
      </w:pPr>
      <w:r w:rsidRPr="00A7573F">
        <w:rPr>
          <w:rFonts w:asciiTheme="majorHAnsi" w:hAnsiTheme="majorHAnsi"/>
        </w:rPr>
        <w:t xml:space="preserve">Our Service philosophy, code of conduct and </w:t>
      </w:r>
      <w:r w:rsidR="00A450A9" w:rsidRPr="00A7573F">
        <w:rPr>
          <w:rFonts w:asciiTheme="majorHAnsi" w:hAnsiTheme="majorHAnsi"/>
        </w:rPr>
        <w:t xml:space="preserve">the </w:t>
      </w:r>
      <w:hyperlink r:id="rId12" w:history="1">
        <w:r w:rsidR="00A450A9" w:rsidRPr="00A7573F">
          <w:rPr>
            <w:rStyle w:val="Hyperlink"/>
            <w:rFonts w:asciiTheme="majorHAnsi" w:hAnsiTheme="majorHAnsi"/>
          </w:rPr>
          <w:t>E</w:t>
        </w:r>
        <w:r w:rsidRPr="00A7573F">
          <w:rPr>
            <w:rStyle w:val="Hyperlink"/>
            <w:rFonts w:asciiTheme="majorHAnsi" w:hAnsiTheme="majorHAnsi"/>
          </w:rPr>
          <w:t xml:space="preserve">arly </w:t>
        </w:r>
        <w:r w:rsidR="00A450A9" w:rsidRPr="00A7573F">
          <w:rPr>
            <w:rStyle w:val="Hyperlink"/>
            <w:rFonts w:asciiTheme="majorHAnsi" w:hAnsiTheme="majorHAnsi"/>
          </w:rPr>
          <w:t>C</w:t>
        </w:r>
        <w:r w:rsidRPr="00A7573F">
          <w:rPr>
            <w:rStyle w:val="Hyperlink"/>
            <w:rFonts w:asciiTheme="majorHAnsi" w:hAnsiTheme="majorHAnsi"/>
          </w:rPr>
          <w:t xml:space="preserve">hildhood </w:t>
        </w:r>
        <w:r w:rsidR="00A450A9" w:rsidRPr="00A7573F">
          <w:rPr>
            <w:rStyle w:val="Hyperlink"/>
            <w:rFonts w:asciiTheme="majorHAnsi" w:hAnsiTheme="majorHAnsi"/>
          </w:rPr>
          <w:t xml:space="preserve">Australia (ACA) </w:t>
        </w:r>
        <w:r w:rsidR="00A450A9" w:rsidRPr="00A7573F">
          <w:rPr>
            <w:rStyle w:val="Hyperlink"/>
            <w:rFonts w:asciiTheme="majorHAnsi" w:hAnsiTheme="majorHAnsi"/>
            <w:i/>
            <w:iCs/>
          </w:rPr>
          <w:t>C</w:t>
        </w:r>
        <w:r w:rsidRPr="00A7573F">
          <w:rPr>
            <w:rStyle w:val="Hyperlink"/>
            <w:rFonts w:asciiTheme="majorHAnsi" w:hAnsiTheme="majorHAnsi"/>
            <w:i/>
            <w:iCs/>
          </w:rPr>
          <w:t xml:space="preserve">ode of </w:t>
        </w:r>
        <w:r w:rsidR="00A450A9" w:rsidRPr="00A7573F">
          <w:rPr>
            <w:rStyle w:val="Hyperlink"/>
            <w:rFonts w:asciiTheme="majorHAnsi" w:hAnsiTheme="majorHAnsi"/>
            <w:i/>
            <w:iCs/>
          </w:rPr>
          <w:t>E</w:t>
        </w:r>
        <w:r w:rsidRPr="00A7573F">
          <w:rPr>
            <w:rStyle w:val="Hyperlink"/>
            <w:rFonts w:asciiTheme="majorHAnsi" w:hAnsiTheme="majorHAnsi"/>
            <w:i/>
            <w:iCs/>
          </w:rPr>
          <w:t>thics</w:t>
        </w:r>
      </w:hyperlink>
      <w:r w:rsidRPr="00A7573F">
        <w:rPr>
          <w:rFonts w:asciiTheme="majorHAnsi" w:hAnsiTheme="majorHAnsi"/>
          <w:i/>
          <w:iCs/>
        </w:rPr>
        <w:t xml:space="preserve"> </w:t>
      </w:r>
      <w:r w:rsidRPr="00A7573F">
        <w:rPr>
          <w:rFonts w:asciiTheme="majorHAnsi" w:hAnsiTheme="majorHAnsi"/>
        </w:rPr>
        <w:t>will guide</w:t>
      </w:r>
      <w:r w:rsidRPr="00F56633">
        <w:rPr>
          <w:rFonts w:asciiTheme="majorHAnsi" w:hAnsiTheme="majorHAnsi"/>
        </w:rPr>
        <w:t xml:space="preserve"> educator behaviours and interactions and adhere to best practice by providing a vision and a purposeful and meaningful direction to ensure a safe working environment for all staff.</w:t>
      </w:r>
      <w:r w:rsidRPr="00AB1C96">
        <w:rPr>
          <w:rFonts w:asciiTheme="majorHAnsi" w:hAnsiTheme="majorHAnsi"/>
        </w:rPr>
        <w:t xml:space="preserve"> </w:t>
      </w:r>
    </w:p>
    <w:p w14:paraId="12348518" w14:textId="77777777" w:rsidR="00C941B8" w:rsidRPr="005D1501" w:rsidRDefault="00C941B8" w:rsidP="00A7573F">
      <w:pPr>
        <w:spacing w:after="0" w:line="360" w:lineRule="auto"/>
        <w:rPr>
          <w:rFonts w:asciiTheme="majorHAnsi" w:hAnsiTheme="majorHAnsi"/>
          <w:b/>
        </w:rPr>
      </w:pPr>
    </w:p>
    <w:p w14:paraId="7FFD7D93" w14:textId="2350FEB2" w:rsidR="00C941B8" w:rsidRPr="005D1501" w:rsidRDefault="00C941B8" w:rsidP="00A7573F">
      <w:pPr>
        <w:spacing w:after="0" w:line="360" w:lineRule="auto"/>
        <w:rPr>
          <w:rFonts w:cstheme="minorHAnsi"/>
          <w:bCs/>
          <w:sz w:val="24"/>
          <w:szCs w:val="24"/>
        </w:rPr>
      </w:pPr>
      <w:r w:rsidRPr="005D1501">
        <w:rPr>
          <w:rFonts w:cstheme="minorHAnsi"/>
          <w:bCs/>
          <w:sz w:val="24"/>
          <w:szCs w:val="24"/>
        </w:rPr>
        <w:t>Management and Nominated Supervisor</w:t>
      </w:r>
      <w:r w:rsidR="00A7573F" w:rsidRPr="005D1501">
        <w:rPr>
          <w:rFonts w:cstheme="minorHAnsi"/>
          <w:bCs/>
          <w:sz w:val="24"/>
          <w:szCs w:val="24"/>
        </w:rPr>
        <w:t>/Responsible Person</w:t>
      </w:r>
      <w:r w:rsidRPr="005D1501">
        <w:rPr>
          <w:rFonts w:cstheme="minorHAnsi"/>
          <w:bCs/>
          <w:sz w:val="24"/>
          <w:szCs w:val="24"/>
        </w:rPr>
        <w:t xml:space="preserve"> will ensure:</w:t>
      </w:r>
    </w:p>
    <w:p w14:paraId="6DBFA788" w14:textId="5C86392A" w:rsidR="00C941B8" w:rsidRPr="00C941B8" w:rsidRDefault="00366E8D" w:rsidP="00A7573F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 </w:t>
      </w:r>
      <w:r w:rsidR="00C941B8" w:rsidRPr="00C941B8">
        <w:rPr>
          <w:rFonts w:asciiTheme="majorHAnsi" w:hAnsiTheme="majorHAnsi"/>
          <w:color w:val="000000" w:themeColor="text1"/>
        </w:rPr>
        <w:t>thorough induction process for new employees is conducted at the commencement of employment</w:t>
      </w:r>
    </w:p>
    <w:p w14:paraId="6C8AF035" w14:textId="177B539D" w:rsidR="00C941B8" w:rsidRPr="00446DD8" w:rsidRDefault="00366E8D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i/>
          <w:i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all staff</w:t>
      </w:r>
      <w:r w:rsidR="00C941B8" w:rsidRPr="00C941B8">
        <w:rPr>
          <w:rFonts w:asciiTheme="majorHAnsi" w:hAnsiTheme="majorHAnsi"/>
          <w:color w:val="000000" w:themeColor="text1"/>
        </w:rPr>
        <w:t xml:space="preserve"> </w:t>
      </w:r>
      <w:r w:rsidR="00C941B8" w:rsidRPr="00F56633">
        <w:rPr>
          <w:rFonts w:asciiTheme="majorHAnsi" w:hAnsiTheme="majorHAnsi"/>
          <w:color w:val="000000" w:themeColor="text1"/>
        </w:rPr>
        <w:t xml:space="preserve">have a comprehensive understanding of the Service’s code of conduct, </w:t>
      </w:r>
      <w:r w:rsidR="00446DD8" w:rsidRPr="00446DD8">
        <w:rPr>
          <w:rFonts w:asciiTheme="majorHAnsi" w:hAnsiTheme="majorHAnsi"/>
          <w:i/>
          <w:iCs/>
          <w:color w:val="000000" w:themeColor="text1"/>
        </w:rPr>
        <w:t>G</w:t>
      </w:r>
      <w:r w:rsidR="00C941B8" w:rsidRPr="00446DD8">
        <w:rPr>
          <w:rFonts w:asciiTheme="majorHAnsi" w:hAnsiTheme="majorHAnsi"/>
          <w:i/>
          <w:iCs/>
          <w:color w:val="000000" w:themeColor="text1"/>
        </w:rPr>
        <w:t>rievance</w:t>
      </w:r>
      <w:r w:rsidR="00A7573F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A7573F" w:rsidRPr="005D1501">
        <w:rPr>
          <w:rFonts w:asciiTheme="majorHAnsi" w:hAnsiTheme="majorHAnsi"/>
          <w:i/>
          <w:iCs/>
        </w:rPr>
        <w:t>(Complaints)</w:t>
      </w:r>
      <w:r w:rsidR="00C941B8" w:rsidRPr="005D1501">
        <w:rPr>
          <w:rFonts w:asciiTheme="majorHAnsi" w:hAnsiTheme="majorHAnsi"/>
          <w:i/>
          <w:iCs/>
        </w:rPr>
        <w:t xml:space="preserve"> </w:t>
      </w:r>
      <w:r w:rsidR="00446DD8" w:rsidRPr="005D1501">
        <w:rPr>
          <w:rFonts w:asciiTheme="majorHAnsi" w:hAnsiTheme="majorHAnsi"/>
          <w:i/>
          <w:iCs/>
        </w:rPr>
        <w:t>P</w:t>
      </w:r>
      <w:r w:rsidR="00C941B8" w:rsidRPr="005D1501">
        <w:rPr>
          <w:rFonts w:asciiTheme="majorHAnsi" w:hAnsiTheme="majorHAnsi"/>
          <w:i/>
          <w:iCs/>
        </w:rPr>
        <w:t>olicy</w:t>
      </w:r>
      <w:r w:rsidR="00C941B8" w:rsidRPr="005D1501">
        <w:rPr>
          <w:rFonts w:asciiTheme="majorHAnsi" w:hAnsiTheme="majorHAnsi"/>
        </w:rPr>
        <w:t xml:space="preserve"> </w:t>
      </w:r>
      <w:r w:rsidR="00C941B8" w:rsidRPr="00F56633">
        <w:rPr>
          <w:rFonts w:asciiTheme="majorHAnsi" w:hAnsiTheme="majorHAnsi"/>
          <w:color w:val="000000" w:themeColor="text1"/>
        </w:rPr>
        <w:t xml:space="preserve">and the </w:t>
      </w:r>
      <w:r w:rsidR="00C941B8" w:rsidRPr="00446DD8">
        <w:rPr>
          <w:rFonts w:asciiTheme="majorHAnsi" w:hAnsiTheme="majorHAnsi"/>
          <w:i/>
          <w:iCs/>
          <w:color w:val="000000" w:themeColor="text1"/>
        </w:rPr>
        <w:t>Early Childhood Code of Ethics</w:t>
      </w:r>
    </w:p>
    <w:p w14:paraId="292E1F5C" w14:textId="18165C33" w:rsidR="00C941B8" w:rsidRPr="00F56633" w:rsidRDefault="00366E8D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the </w:t>
      </w:r>
      <w:r w:rsidRPr="00366E8D">
        <w:rPr>
          <w:rFonts w:asciiTheme="majorHAnsi" w:hAnsiTheme="majorHAnsi"/>
          <w:i/>
          <w:iCs/>
          <w:color w:val="000000" w:themeColor="text1"/>
        </w:rPr>
        <w:t>B</w:t>
      </w:r>
      <w:r w:rsidR="00C941B8" w:rsidRPr="00366E8D">
        <w:rPr>
          <w:rFonts w:asciiTheme="majorHAnsi" w:hAnsiTheme="majorHAnsi"/>
          <w:i/>
          <w:iCs/>
          <w:color w:val="000000" w:themeColor="text1"/>
        </w:rPr>
        <w:t xml:space="preserve">ullying, </w:t>
      </w:r>
      <w:r w:rsidRPr="00366E8D">
        <w:rPr>
          <w:rFonts w:asciiTheme="majorHAnsi" w:hAnsiTheme="majorHAnsi"/>
          <w:i/>
          <w:iCs/>
          <w:color w:val="000000" w:themeColor="text1"/>
        </w:rPr>
        <w:t>D</w:t>
      </w:r>
      <w:r w:rsidR="00C941B8" w:rsidRPr="00366E8D">
        <w:rPr>
          <w:rFonts w:asciiTheme="majorHAnsi" w:hAnsiTheme="majorHAnsi"/>
          <w:i/>
          <w:iCs/>
          <w:color w:val="000000" w:themeColor="text1"/>
        </w:rPr>
        <w:t>iscrimination and</w:t>
      </w:r>
      <w:r w:rsidRPr="00366E8D">
        <w:rPr>
          <w:rFonts w:asciiTheme="majorHAnsi" w:hAnsiTheme="majorHAnsi"/>
          <w:i/>
          <w:iCs/>
          <w:color w:val="000000" w:themeColor="text1"/>
        </w:rPr>
        <w:t xml:space="preserve"> H</w:t>
      </w:r>
      <w:r w:rsidR="00C941B8" w:rsidRPr="00366E8D">
        <w:rPr>
          <w:rFonts w:asciiTheme="majorHAnsi" w:hAnsiTheme="majorHAnsi"/>
          <w:i/>
          <w:iCs/>
          <w:color w:val="000000" w:themeColor="text1"/>
        </w:rPr>
        <w:t xml:space="preserve">arassment </w:t>
      </w:r>
      <w:r w:rsidRPr="00366E8D">
        <w:rPr>
          <w:rFonts w:asciiTheme="majorHAnsi" w:hAnsiTheme="majorHAnsi"/>
          <w:i/>
          <w:iCs/>
          <w:color w:val="000000" w:themeColor="text1"/>
        </w:rPr>
        <w:t>P</w:t>
      </w:r>
      <w:r w:rsidR="00C941B8" w:rsidRPr="00366E8D">
        <w:rPr>
          <w:rFonts w:asciiTheme="majorHAnsi" w:hAnsiTheme="majorHAnsi"/>
          <w:i/>
          <w:iCs/>
          <w:color w:val="000000" w:themeColor="text1"/>
        </w:rPr>
        <w:t>olicy</w:t>
      </w:r>
      <w:r w:rsidR="00C941B8" w:rsidRPr="00F56633">
        <w:rPr>
          <w:rFonts w:asciiTheme="majorHAnsi" w:hAnsiTheme="majorHAnsi"/>
          <w:color w:val="000000" w:themeColor="text1"/>
        </w:rPr>
        <w:t xml:space="preserve">, and all related policies are reviewed annually. </w:t>
      </w:r>
    </w:p>
    <w:p w14:paraId="6975DADF" w14:textId="015A6FE7" w:rsidR="00C941B8" w:rsidRPr="00F56633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</w:t>
      </w:r>
      <w:r w:rsidR="00C941B8" w:rsidRPr="00C941B8">
        <w:rPr>
          <w:rFonts w:asciiTheme="majorHAnsi" w:hAnsiTheme="majorHAnsi"/>
          <w:color w:val="000000" w:themeColor="text1"/>
        </w:rPr>
        <w:t xml:space="preserve">ducators are informed that inappropriate behaviour, including bullying and harassment will not be tolerated, </w:t>
      </w:r>
      <w:r w:rsidR="00C941B8" w:rsidRPr="00F56633">
        <w:rPr>
          <w:rFonts w:asciiTheme="majorHAnsi" w:hAnsiTheme="majorHAnsi"/>
          <w:color w:val="000000" w:themeColor="text1"/>
        </w:rPr>
        <w:t>and will be advised of potential consequences of this behaviour</w:t>
      </w:r>
    </w:p>
    <w:p w14:paraId="695A7DAB" w14:textId="3DAD29A7" w:rsidR="00C941B8" w:rsidRPr="00F56633" w:rsidRDefault="00A7573F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all staff and </w:t>
      </w:r>
      <w:r w:rsidR="00A450A9">
        <w:rPr>
          <w:rFonts w:asciiTheme="majorHAnsi" w:hAnsiTheme="majorHAnsi"/>
          <w:color w:val="000000" w:themeColor="text1"/>
        </w:rPr>
        <w:t>e</w:t>
      </w:r>
      <w:r w:rsidR="00C941B8" w:rsidRPr="00F56633">
        <w:rPr>
          <w:rFonts w:asciiTheme="majorHAnsi" w:hAnsiTheme="majorHAnsi"/>
          <w:color w:val="000000" w:themeColor="text1"/>
        </w:rPr>
        <w:t xml:space="preserve">ducators are aware of the Service’s </w:t>
      </w:r>
      <w:r>
        <w:rPr>
          <w:rFonts w:asciiTheme="majorHAnsi" w:hAnsiTheme="majorHAnsi"/>
          <w:color w:val="000000" w:themeColor="text1"/>
        </w:rPr>
        <w:t>B</w:t>
      </w:r>
      <w:r w:rsidR="00C941B8" w:rsidRPr="00F56633">
        <w:rPr>
          <w:rFonts w:asciiTheme="majorHAnsi" w:hAnsiTheme="majorHAnsi"/>
          <w:color w:val="000000" w:themeColor="text1"/>
        </w:rPr>
        <w:t>ullying</w:t>
      </w:r>
      <w:r>
        <w:rPr>
          <w:rFonts w:asciiTheme="majorHAnsi" w:hAnsiTheme="majorHAnsi"/>
          <w:color w:val="000000" w:themeColor="text1"/>
        </w:rPr>
        <w:t xml:space="preserve">, Discrimination </w:t>
      </w:r>
      <w:r w:rsidR="00C941B8" w:rsidRPr="00F56633">
        <w:rPr>
          <w:rFonts w:asciiTheme="majorHAnsi" w:hAnsiTheme="majorHAnsi"/>
          <w:color w:val="000000" w:themeColor="text1"/>
        </w:rPr>
        <w:t xml:space="preserve">and </w:t>
      </w:r>
      <w:r>
        <w:rPr>
          <w:rFonts w:asciiTheme="majorHAnsi" w:hAnsiTheme="majorHAnsi"/>
          <w:color w:val="000000" w:themeColor="text1"/>
        </w:rPr>
        <w:t>H</w:t>
      </w:r>
      <w:r w:rsidR="00C941B8" w:rsidRPr="00F56633">
        <w:rPr>
          <w:rFonts w:asciiTheme="majorHAnsi" w:hAnsiTheme="majorHAnsi"/>
          <w:color w:val="000000" w:themeColor="text1"/>
        </w:rPr>
        <w:t>arassment procedure</w:t>
      </w:r>
    </w:p>
    <w:p w14:paraId="4F93EF19" w14:textId="6524A438" w:rsidR="00C941B8" w:rsidRPr="00F56633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</w:t>
      </w:r>
      <w:r w:rsidR="00C941B8" w:rsidRPr="00F56633">
        <w:rPr>
          <w:rFonts w:asciiTheme="majorHAnsi" w:hAnsiTheme="majorHAnsi"/>
          <w:color w:val="000000" w:themeColor="text1"/>
        </w:rPr>
        <w:t>nappropriate behaviour is addressed in a timely manner</w:t>
      </w:r>
    </w:p>
    <w:p w14:paraId="79487416" w14:textId="42263282" w:rsidR="00C941B8" w:rsidRPr="00F56633" w:rsidRDefault="00A7573F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all staff and </w:t>
      </w:r>
      <w:r w:rsidR="00A450A9">
        <w:rPr>
          <w:rFonts w:asciiTheme="majorHAnsi" w:hAnsiTheme="majorHAnsi"/>
          <w:color w:val="000000" w:themeColor="text1"/>
        </w:rPr>
        <w:t>e</w:t>
      </w:r>
      <w:r w:rsidR="00C941B8" w:rsidRPr="00F56633">
        <w:rPr>
          <w:rFonts w:asciiTheme="majorHAnsi" w:hAnsiTheme="majorHAnsi"/>
          <w:color w:val="000000" w:themeColor="text1"/>
        </w:rPr>
        <w:t>ducators are aware of appropriate interactions through professional development and training</w:t>
      </w:r>
    </w:p>
    <w:p w14:paraId="00CD3E68" w14:textId="77777777" w:rsidR="00A450A9" w:rsidRPr="00A450A9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</w:t>
      </w:r>
      <w:r w:rsidR="00C941B8" w:rsidRPr="00F56633">
        <w:rPr>
          <w:rFonts w:asciiTheme="majorHAnsi" w:hAnsiTheme="majorHAnsi"/>
          <w:color w:val="000000" w:themeColor="text1"/>
        </w:rPr>
        <w:t xml:space="preserve">taff and </w:t>
      </w:r>
      <w:r>
        <w:rPr>
          <w:rFonts w:asciiTheme="majorHAnsi" w:hAnsiTheme="majorHAnsi"/>
          <w:color w:val="000000" w:themeColor="text1"/>
        </w:rPr>
        <w:t>e</w:t>
      </w:r>
      <w:r w:rsidR="00C941B8" w:rsidRPr="00F56633">
        <w:rPr>
          <w:rFonts w:asciiTheme="majorHAnsi" w:hAnsiTheme="majorHAnsi"/>
          <w:color w:val="000000" w:themeColor="text1"/>
        </w:rPr>
        <w:t>ducators are aware of their job roles and responsibilities which will be clarified through job descriptions, team meetings, performance appraisals and clear management expectations</w:t>
      </w:r>
    </w:p>
    <w:p w14:paraId="1C6D9B55" w14:textId="1607A06C" w:rsidR="00C941B8" w:rsidRPr="00A450A9" w:rsidRDefault="00A7573F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 w:cs="Calibri"/>
          <w:color w:val="000000" w:themeColor="text1"/>
          <w:lang w:eastAsia="en-AU"/>
        </w:rPr>
        <w:t>all staff and educators</w:t>
      </w:r>
      <w:r w:rsidR="00A450A9">
        <w:rPr>
          <w:rFonts w:asciiTheme="majorHAnsi" w:hAnsiTheme="majorHAnsi" w:cs="Calibri"/>
          <w:color w:val="000000" w:themeColor="text1"/>
          <w:lang w:eastAsia="en-AU"/>
        </w:rPr>
        <w:t xml:space="preserve"> are </w:t>
      </w:r>
      <w:r w:rsidR="00C941B8" w:rsidRPr="00A450A9">
        <w:rPr>
          <w:rFonts w:asciiTheme="majorHAnsi" w:hAnsiTheme="majorHAnsi" w:cs="Calibri"/>
          <w:color w:val="000000" w:themeColor="text1"/>
          <w:lang w:eastAsia="en-AU"/>
        </w:rPr>
        <w:t>encouraged to embrace the uniqueness and diversity of their colleagues</w:t>
      </w:r>
    </w:p>
    <w:p w14:paraId="33ECBD42" w14:textId="4075F4D6" w:rsidR="00C941B8" w:rsidRPr="00F56633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</w:t>
      </w:r>
      <w:r w:rsidR="00C941B8" w:rsidRPr="00F56633">
        <w:rPr>
          <w:rFonts w:asciiTheme="majorHAnsi" w:hAnsiTheme="majorHAnsi"/>
          <w:color w:val="000000" w:themeColor="text1"/>
        </w:rPr>
        <w:t xml:space="preserve">onstructive feedback is provided to staff and </w:t>
      </w:r>
      <w:r>
        <w:rPr>
          <w:rFonts w:asciiTheme="majorHAnsi" w:hAnsiTheme="majorHAnsi"/>
          <w:color w:val="000000" w:themeColor="text1"/>
        </w:rPr>
        <w:t>e</w:t>
      </w:r>
      <w:r w:rsidR="00C941B8" w:rsidRPr="00F56633">
        <w:rPr>
          <w:rFonts w:asciiTheme="majorHAnsi" w:hAnsiTheme="majorHAnsi"/>
          <w:color w:val="000000" w:themeColor="text1"/>
        </w:rPr>
        <w:t>ducators</w:t>
      </w:r>
    </w:p>
    <w:p w14:paraId="1C255B5B" w14:textId="0D39578F" w:rsidR="00C941B8" w:rsidRPr="00F56633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</w:t>
      </w:r>
      <w:r w:rsidR="00C941B8" w:rsidRPr="00C941B8">
        <w:rPr>
          <w:rFonts w:asciiTheme="majorHAnsi" w:hAnsiTheme="majorHAnsi"/>
          <w:color w:val="000000" w:themeColor="text1"/>
        </w:rPr>
        <w:t xml:space="preserve">ommunication </w:t>
      </w:r>
      <w:r w:rsidR="00C941B8" w:rsidRPr="00F56633">
        <w:rPr>
          <w:rFonts w:asciiTheme="majorHAnsi" w:hAnsiTheme="majorHAnsi"/>
          <w:color w:val="000000" w:themeColor="text1"/>
        </w:rPr>
        <w:t>practices are reviewed frequently to ensure best practice</w:t>
      </w:r>
    </w:p>
    <w:p w14:paraId="602E6562" w14:textId="75103936" w:rsidR="00C941B8" w:rsidRPr="00F56633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</w:t>
      </w:r>
      <w:r w:rsidR="00C941B8" w:rsidRPr="00F56633">
        <w:rPr>
          <w:rFonts w:asciiTheme="majorHAnsi" w:hAnsiTheme="majorHAnsi"/>
          <w:color w:val="000000" w:themeColor="text1"/>
        </w:rPr>
        <w:t>ll staff and educators are treated equally and fairly</w:t>
      </w:r>
    </w:p>
    <w:p w14:paraId="6EF44AB3" w14:textId="0B32CC4C" w:rsidR="00C941B8" w:rsidRPr="00C941B8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</w:t>
      </w:r>
      <w:r w:rsidR="00C941B8" w:rsidRPr="00C941B8">
        <w:rPr>
          <w:rFonts w:asciiTheme="majorHAnsi" w:hAnsiTheme="majorHAnsi" w:cstheme="majorHAnsi"/>
          <w:color w:val="000000" w:themeColor="text1"/>
        </w:rPr>
        <w:t>eetings are documented accurately and appropriately</w:t>
      </w:r>
    </w:p>
    <w:p w14:paraId="2CE296A9" w14:textId="2C03FB33" w:rsidR="00C941B8" w:rsidRPr="00A7573F" w:rsidRDefault="00A450A9" w:rsidP="00A7573F">
      <w:pPr>
        <w:pStyle w:val="ListParagraph"/>
        <w:numPr>
          <w:ilvl w:val="0"/>
          <w:numId w:val="41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 w:rsidRPr="00A7573F">
        <w:rPr>
          <w:rFonts w:asciiTheme="majorHAnsi" w:hAnsiTheme="majorHAnsi" w:cstheme="majorHAnsi"/>
          <w:color w:val="000000" w:themeColor="text1"/>
        </w:rPr>
        <w:t>a</w:t>
      </w:r>
      <w:r w:rsidR="00C941B8" w:rsidRPr="00A7573F">
        <w:rPr>
          <w:rFonts w:asciiTheme="majorHAnsi" w:hAnsiTheme="majorHAnsi" w:cstheme="majorHAnsi"/>
          <w:color w:val="000000" w:themeColor="text1"/>
        </w:rPr>
        <w:t>n understanding and compliance with discrimination law</w:t>
      </w:r>
      <w:r w:rsidRPr="00A7573F">
        <w:rPr>
          <w:rFonts w:asciiTheme="majorHAnsi" w:hAnsiTheme="majorHAnsi" w:cstheme="majorHAnsi"/>
          <w:color w:val="000000" w:themeColor="text1"/>
        </w:rPr>
        <w:t xml:space="preserve"> is communicated with all employees.</w:t>
      </w:r>
    </w:p>
    <w:p w14:paraId="73B7E5D4" w14:textId="69E7694D" w:rsidR="005D148A" w:rsidRDefault="005D148A" w:rsidP="00C941B8">
      <w:pPr>
        <w:rPr>
          <w:rFonts w:asciiTheme="majorHAnsi" w:hAnsiTheme="majorHAnsi"/>
        </w:rPr>
      </w:pPr>
    </w:p>
    <w:p w14:paraId="10D7F906" w14:textId="3B043365" w:rsidR="005D148A" w:rsidRPr="005D1501" w:rsidRDefault="00C941B8" w:rsidP="005D148A">
      <w:pPr>
        <w:spacing w:after="0" w:line="360" w:lineRule="auto"/>
        <w:rPr>
          <w:rFonts w:cstheme="minorHAnsi"/>
          <w:sz w:val="24"/>
        </w:rPr>
      </w:pPr>
      <w:r w:rsidRPr="005D1501">
        <w:rPr>
          <w:rFonts w:cstheme="minorHAnsi"/>
          <w:sz w:val="24"/>
        </w:rPr>
        <w:t>Educators will:</w:t>
      </w:r>
    </w:p>
    <w:p w14:paraId="58CE34D1" w14:textId="281A16E3" w:rsidR="00C941B8" w:rsidRPr="00F56633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/>
          <w:lang w:val="en-AU"/>
        </w:rPr>
        <w:t>b</w:t>
      </w:r>
      <w:r w:rsidR="00C941B8" w:rsidRPr="00AB1C96">
        <w:rPr>
          <w:rFonts w:asciiTheme="majorHAnsi" w:hAnsiTheme="majorHAnsi"/>
          <w:lang w:val="en-AU"/>
        </w:rPr>
        <w:t xml:space="preserve">e involved in decision making with a clear understanding of their roles and responsibilities, outlined </w:t>
      </w:r>
      <w:r w:rsidR="00C941B8" w:rsidRPr="00F56633">
        <w:rPr>
          <w:rFonts w:asciiTheme="majorHAnsi" w:hAnsiTheme="majorHAnsi"/>
          <w:lang w:val="en-AU"/>
        </w:rPr>
        <w:t>in each individual job description</w:t>
      </w:r>
    </w:p>
    <w:p w14:paraId="79CD244B" w14:textId="26BA7B09" w:rsidR="00C941B8" w:rsidRPr="00F56633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e</w:t>
      </w:r>
      <w:r w:rsidR="00C941B8" w:rsidRPr="00F56633">
        <w:rPr>
          <w:rFonts w:asciiTheme="majorHAnsi" w:hAnsiTheme="majorHAnsi" w:cs="Calibri"/>
          <w:lang w:val="en-AU" w:eastAsia="en-AU"/>
        </w:rPr>
        <w:t>mbrace the uniqueness and diversity of their colleagues</w:t>
      </w:r>
    </w:p>
    <w:p w14:paraId="4DF64070" w14:textId="2E91B550" w:rsidR="00C941B8" w:rsidRPr="00F56633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r</w:t>
      </w:r>
      <w:r w:rsidR="00C941B8" w:rsidRPr="00F56633">
        <w:rPr>
          <w:rFonts w:asciiTheme="majorHAnsi" w:hAnsiTheme="majorHAnsi" w:cs="Calibri"/>
          <w:lang w:val="en-AU" w:eastAsia="en-AU"/>
        </w:rPr>
        <w:t>espect the skills, strengths and opinions of all educators in order to create team cohesion based on professionalism</w:t>
      </w:r>
    </w:p>
    <w:p w14:paraId="7B12F7CE" w14:textId="37DC5DD7" w:rsidR="00C941B8" w:rsidRPr="00F56633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c</w:t>
      </w:r>
      <w:r w:rsidR="00C941B8" w:rsidRPr="00F56633">
        <w:rPr>
          <w:rFonts w:asciiTheme="majorHAnsi" w:hAnsiTheme="majorHAnsi" w:cs="Calibri"/>
          <w:lang w:val="en-AU" w:eastAsia="en-AU"/>
        </w:rPr>
        <w:t xml:space="preserve">omply </w:t>
      </w:r>
      <w:r w:rsidR="00C941B8" w:rsidRPr="005D1501">
        <w:rPr>
          <w:rFonts w:asciiTheme="majorHAnsi" w:hAnsiTheme="majorHAnsi" w:cs="Calibri"/>
          <w:lang w:val="en-AU" w:eastAsia="en-AU"/>
        </w:rPr>
        <w:t xml:space="preserve">with </w:t>
      </w:r>
      <w:r w:rsidR="00A7573F" w:rsidRPr="005D1501">
        <w:rPr>
          <w:rFonts w:asciiTheme="majorHAnsi" w:hAnsiTheme="majorHAnsi" w:cs="Calibri"/>
          <w:lang w:val="en-AU" w:eastAsia="en-AU"/>
        </w:rPr>
        <w:t xml:space="preserve">all </w:t>
      </w:r>
      <w:r w:rsidR="00C941B8" w:rsidRPr="005D1501">
        <w:rPr>
          <w:rFonts w:asciiTheme="majorHAnsi" w:hAnsiTheme="majorHAnsi" w:cs="Calibri"/>
          <w:lang w:val="en-AU" w:eastAsia="en-AU"/>
        </w:rPr>
        <w:t>discrimination law</w:t>
      </w:r>
      <w:r w:rsidR="00A7573F" w:rsidRPr="005D1501">
        <w:rPr>
          <w:rFonts w:asciiTheme="majorHAnsi" w:hAnsiTheme="majorHAnsi" w:cs="Calibri"/>
          <w:lang w:val="en-AU" w:eastAsia="en-AU"/>
        </w:rPr>
        <w:t>s</w:t>
      </w:r>
    </w:p>
    <w:p w14:paraId="21B981FD" w14:textId="47F6721F" w:rsidR="00C941B8" w:rsidRPr="00F56633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lastRenderedPageBreak/>
        <w:t>b</w:t>
      </w:r>
      <w:r w:rsidR="00C941B8" w:rsidRPr="00F56633">
        <w:rPr>
          <w:rFonts w:asciiTheme="majorHAnsi" w:hAnsiTheme="majorHAnsi" w:cs="Calibri"/>
          <w:lang w:val="en-AU" w:eastAsia="en-AU"/>
        </w:rPr>
        <w:t>e responsible for their own actions in the workplace</w:t>
      </w:r>
    </w:p>
    <w:p w14:paraId="64BC8CF7" w14:textId="530F0AAD" w:rsidR="00C941B8" w:rsidRDefault="00A450A9" w:rsidP="00A450A9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r</w:t>
      </w:r>
      <w:r w:rsidR="00C941B8" w:rsidRPr="00F56633">
        <w:rPr>
          <w:rFonts w:asciiTheme="majorHAnsi" w:hAnsiTheme="majorHAnsi" w:cs="Calibri"/>
          <w:lang w:val="en-AU" w:eastAsia="en-AU"/>
        </w:rPr>
        <w:t>aise matters of concern to management at an early stage</w:t>
      </w:r>
    </w:p>
    <w:p w14:paraId="03196F6F" w14:textId="18675AE0" w:rsidR="00C715B6" w:rsidRPr="005D1501" w:rsidRDefault="00C715B6" w:rsidP="00C715B6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p</w:t>
      </w:r>
      <w:r w:rsidRPr="00030611">
        <w:rPr>
          <w:rFonts w:asciiTheme="majorHAnsi" w:hAnsiTheme="majorHAnsi" w:cs="Calibri"/>
          <w:lang w:val="en-AU" w:eastAsia="en-AU"/>
        </w:rPr>
        <w:t>rovide management with specific information regarding the perceived bullying</w:t>
      </w:r>
      <w:r>
        <w:rPr>
          <w:rFonts w:asciiTheme="majorHAnsi" w:hAnsiTheme="majorHAnsi" w:cs="Calibri"/>
          <w:lang w:val="en-AU" w:eastAsia="en-AU"/>
        </w:rPr>
        <w:t>, discrimination, and/or harassment,</w:t>
      </w:r>
      <w:r w:rsidRPr="00030611">
        <w:rPr>
          <w:rFonts w:asciiTheme="majorHAnsi" w:hAnsiTheme="majorHAnsi" w:cs="Calibri"/>
          <w:lang w:val="en-AU" w:eastAsia="en-AU"/>
        </w:rPr>
        <w:t xml:space="preserve"> and be prepared to have the complaint made known to the person to allow for </w:t>
      </w:r>
      <w:r w:rsidRPr="005D1501">
        <w:rPr>
          <w:rFonts w:asciiTheme="majorHAnsi" w:hAnsiTheme="majorHAnsi" w:cs="Calibri"/>
          <w:lang w:val="en-AU" w:eastAsia="en-AU"/>
        </w:rPr>
        <w:t>fair management and rectification</w:t>
      </w:r>
    </w:p>
    <w:p w14:paraId="794DB2A0" w14:textId="4F4D8322" w:rsidR="00C715B6" w:rsidRPr="005D1501" w:rsidRDefault="00A450A9" w:rsidP="00C715B6">
      <w:pPr>
        <w:pStyle w:val="NoSpacing"/>
        <w:numPr>
          <w:ilvl w:val="0"/>
          <w:numId w:val="42"/>
        </w:numPr>
        <w:spacing w:line="360" w:lineRule="auto"/>
        <w:rPr>
          <w:rFonts w:asciiTheme="majorHAnsi" w:hAnsiTheme="majorHAnsi" w:cs="Calibri"/>
          <w:lang w:val="en-AU" w:eastAsia="en-AU"/>
        </w:rPr>
      </w:pPr>
      <w:r w:rsidRPr="005D1501">
        <w:rPr>
          <w:rFonts w:asciiTheme="majorHAnsi" w:hAnsiTheme="majorHAnsi" w:cs="Calibri"/>
          <w:lang w:val="en-AU" w:eastAsia="en-AU"/>
        </w:rPr>
        <w:t>m</w:t>
      </w:r>
      <w:r w:rsidR="00C941B8" w:rsidRPr="005D1501">
        <w:rPr>
          <w:rFonts w:asciiTheme="majorHAnsi" w:hAnsiTheme="majorHAnsi" w:cs="Calibri"/>
          <w:lang w:val="en-AU" w:eastAsia="en-AU"/>
        </w:rPr>
        <w:t>aintain confidentiality and not discuss or release information relating to bullying</w:t>
      </w:r>
      <w:r w:rsidR="00C715B6" w:rsidRPr="005D1501">
        <w:rPr>
          <w:rFonts w:asciiTheme="majorHAnsi" w:hAnsiTheme="majorHAnsi" w:cs="Calibri"/>
          <w:lang w:val="en-AU" w:eastAsia="en-AU"/>
        </w:rPr>
        <w:t>, discrimination, or harassment allegations</w:t>
      </w:r>
    </w:p>
    <w:p w14:paraId="5354A2C7" w14:textId="77777777" w:rsidR="00C715B6" w:rsidRPr="005D1501" w:rsidRDefault="00C715B6" w:rsidP="00C715B6">
      <w:pPr>
        <w:pStyle w:val="NoSpacing"/>
        <w:numPr>
          <w:ilvl w:val="0"/>
          <w:numId w:val="42"/>
        </w:numPr>
        <w:spacing w:line="360" w:lineRule="auto"/>
        <w:rPr>
          <w:rFonts w:asciiTheme="majorHAnsi" w:hAnsiTheme="majorHAnsi" w:cs="Calibri"/>
          <w:lang w:val="en-AU" w:eastAsia="en-AU"/>
        </w:rPr>
      </w:pPr>
      <w:r w:rsidRPr="005D1501">
        <w:rPr>
          <w:rFonts w:asciiTheme="majorHAnsi" w:hAnsiTheme="majorHAnsi" w:cs="Calibri"/>
          <w:lang w:val="en-AU" w:eastAsia="en-AU"/>
        </w:rPr>
        <w:t xml:space="preserve">follow the Service’s </w:t>
      </w:r>
      <w:r w:rsidRPr="005D1501">
        <w:rPr>
          <w:rFonts w:asciiTheme="majorHAnsi" w:hAnsiTheme="majorHAnsi" w:cs="Calibri"/>
          <w:i/>
          <w:iCs/>
          <w:lang w:val="en-AU" w:eastAsia="en-AU"/>
        </w:rPr>
        <w:t>Bullying, Discrimination and Harassment procedure</w:t>
      </w:r>
    </w:p>
    <w:p w14:paraId="273F507E" w14:textId="569862C4" w:rsidR="00C941B8" w:rsidRPr="00C715B6" w:rsidRDefault="00C715B6" w:rsidP="00C715B6">
      <w:pPr>
        <w:pStyle w:val="NoSpacing"/>
        <w:numPr>
          <w:ilvl w:val="0"/>
          <w:numId w:val="42"/>
        </w:numPr>
        <w:spacing w:line="360" w:lineRule="auto"/>
        <w:rPr>
          <w:rFonts w:asciiTheme="majorHAnsi" w:hAnsiTheme="majorHAnsi" w:cs="Calibri"/>
          <w:lang w:val="en-AU" w:eastAsia="en-AU"/>
        </w:rPr>
      </w:pPr>
      <w:r>
        <w:rPr>
          <w:rFonts w:asciiTheme="majorHAnsi" w:hAnsiTheme="majorHAnsi" w:cs="Calibri"/>
          <w:lang w:val="en-AU" w:eastAsia="en-AU"/>
        </w:rPr>
        <w:t>e</w:t>
      </w:r>
      <w:r w:rsidRPr="00105CD5">
        <w:rPr>
          <w:rFonts w:asciiTheme="majorHAnsi" w:hAnsiTheme="majorHAnsi" w:cs="Calibri"/>
          <w:lang w:val="en-AU" w:eastAsia="en-AU"/>
        </w:rPr>
        <w:t xml:space="preserve">valuate the effectiveness of strategies implemented to discourage and eradicate bullying, discrimination, and/or harassment.  </w:t>
      </w:r>
    </w:p>
    <w:p w14:paraId="5B349238" w14:textId="77777777" w:rsidR="00C941B8" w:rsidRDefault="00C941B8" w:rsidP="00E5094F">
      <w:pPr>
        <w:spacing w:line="360" w:lineRule="auto"/>
        <w:rPr>
          <w:rFonts w:cs="Arial"/>
          <w:sz w:val="24"/>
          <w:szCs w:val="24"/>
          <w:lang w:val="en-US"/>
        </w:rPr>
      </w:pPr>
    </w:p>
    <w:p w14:paraId="35EF4D7E" w14:textId="6F376E5D" w:rsidR="00E5094F" w:rsidRDefault="00E5094F" w:rsidP="00C715B6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Source</w:t>
      </w:r>
    </w:p>
    <w:p w14:paraId="3C91DAE6" w14:textId="77777777" w:rsidR="00C715B6" w:rsidRPr="003A2333" w:rsidRDefault="00C715B6" w:rsidP="00C715B6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63F0CFB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1315438"/>
      <w:r w:rsidRPr="00C715B6">
        <w:rPr>
          <w:rFonts w:asciiTheme="majorHAnsi" w:hAnsiTheme="majorHAnsi" w:cstheme="majorHAnsi"/>
          <w:i/>
          <w:sz w:val="20"/>
          <w:szCs w:val="20"/>
        </w:rPr>
        <w:t>Anti-Discrimination Act</w:t>
      </w:r>
      <w:r w:rsidRPr="00C715B6">
        <w:rPr>
          <w:rFonts w:asciiTheme="majorHAnsi" w:hAnsiTheme="majorHAnsi" w:cstheme="majorHAnsi"/>
          <w:sz w:val="20"/>
          <w:szCs w:val="20"/>
        </w:rPr>
        <w:t xml:space="preserve">: See </w:t>
      </w:r>
      <w:hyperlink r:id="rId13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https://raisingchildren.net.au/disability/disability-rights-the-law/law/anti-discrimination-laws</w:t>
        </w:r>
      </w:hyperlink>
      <w:r w:rsidRPr="00C715B6">
        <w:rPr>
          <w:rFonts w:asciiTheme="majorHAnsi" w:hAnsiTheme="majorHAnsi" w:cstheme="majorHAnsi"/>
          <w:sz w:val="20"/>
          <w:szCs w:val="20"/>
        </w:rPr>
        <w:t xml:space="preserve"> for Acts for specific Australian states and territories.</w:t>
      </w:r>
    </w:p>
    <w:p w14:paraId="4BE1CCE1" w14:textId="77777777" w:rsidR="00C941B8" w:rsidRPr="00C715B6" w:rsidRDefault="00C941B8" w:rsidP="00C715B6">
      <w:pPr>
        <w:spacing w:after="0" w:line="276" w:lineRule="auto"/>
        <w:rPr>
          <w:rStyle w:val="Hyperlink"/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Australasian Legal information institute: </w:t>
      </w:r>
      <w:hyperlink r:id="rId14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www.austlii.edu.au</w:t>
        </w:r>
      </w:hyperlink>
    </w:p>
    <w:p w14:paraId="307DA975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Australian Children’s Education &amp; Care Quality Authority. (2014). </w:t>
      </w:r>
    </w:p>
    <w:p w14:paraId="5FDABF8C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Australian Human Rights Commission. (2019). Reform of discrimination law: </w:t>
      </w:r>
      <w:hyperlink r:id="rId15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https://www.humanrights.gov.au/</w:t>
        </w:r>
      </w:hyperlink>
    </w:p>
    <w:bookmarkEnd w:id="0"/>
    <w:p w14:paraId="65F35A17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>Early Childhood Australia Code of Ethics. (2016).</w:t>
      </w:r>
    </w:p>
    <w:p w14:paraId="43D40457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C715B6">
        <w:rPr>
          <w:rFonts w:asciiTheme="majorHAnsi" w:hAnsiTheme="majorHAnsi" w:cstheme="majorHAnsi"/>
          <w:i/>
          <w:sz w:val="20"/>
          <w:szCs w:val="20"/>
        </w:rPr>
        <w:t xml:space="preserve">Fair Work Act 2009 </w:t>
      </w:r>
      <w:r w:rsidRPr="00C715B6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C715B6">
        <w:rPr>
          <w:rFonts w:asciiTheme="majorHAnsi" w:hAnsiTheme="majorHAnsi" w:cstheme="majorHAnsi"/>
          <w:sz w:val="20"/>
          <w:szCs w:val="20"/>
        </w:rPr>
        <w:t>Cth</w:t>
      </w:r>
      <w:proofErr w:type="spellEnd"/>
      <w:r w:rsidRPr="00C715B6">
        <w:rPr>
          <w:rFonts w:asciiTheme="majorHAnsi" w:hAnsiTheme="majorHAnsi" w:cstheme="majorHAnsi"/>
          <w:sz w:val="20"/>
          <w:szCs w:val="20"/>
        </w:rPr>
        <w:t>).</w:t>
      </w:r>
    </w:p>
    <w:p w14:paraId="37B74B3B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Fair Work Ombudsman. (2019). Bullying &amp; Harassment: </w:t>
      </w:r>
      <w:hyperlink r:id="rId16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https://www.fairwork.gov.au/employee-entitlements/bullying-and-harassment</w:t>
        </w:r>
      </w:hyperlink>
    </w:p>
    <w:p w14:paraId="0DCDF72B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Fair Work Ombudsman. (2019). Managing performance &amp; warnings: </w:t>
      </w:r>
      <w:hyperlink r:id="rId17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https://www.fairwork.gov.au/employee-entitlements/managing-performance-and-warnings</w:t>
        </w:r>
      </w:hyperlink>
    </w:p>
    <w:p w14:paraId="318FF334" w14:textId="29816974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>Guide to the Education and Care Services National Law and the Education and Care Services National Regulations. (20</w:t>
      </w:r>
      <w:r w:rsidR="00446DD8" w:rsidRPr="00C715B6">
        <w:rPr>
          <w:rFonts w:asciiTheme="majorHAnsi" w:hAnsiTheme="majorHAnsi" w:cstheme="majorHAnsi"/>
          <w:sz w:val="20"/>
          <w:szCs w:val="20"/>
        </w:rPr>
        <w:t>20</w:t>
      </w:r>
      <w:r w:rsidRPr="00C715B6">
        <w:rPr>
          <w:rFonts w:asciiTheme="majorHAnsi" w:hAnsiTheme="majorHAnsi" w:cstheme="majorHAnsi"/>
          <w:sz w:val="20"/>
          <w:szCs w:val="20"/>
        </w:rPr>
        <w:t>).</w:t>
      </w:r>
    </w:p>
    <w:p w14:paraId="7A71EFC6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>Guide to the National Quality Standard. (2017).</w:t>
      </w:r>
    </w:p>
    <w:p w14:paraId="00086FA0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Law Council of Australia. (2019). Bullying and harassment in the workplace: </w:t>
      </w:r>
      <w:hyperlink r:id="rId18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https://www.lawcouncil.asn.au/policy-agenda/advancing-the-profession/equal-opportunities-in-the-law/bullying-and-harassment-in-the-workplace</w:t>
        </w:r>
      </w:hyperlink>
    </w:p>
    <w:p w14:paraId="5EAF07CB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>Revised National Quality Standard. (2018).</w:t>
      </w:r>
    </w:p>
    <w:p w14:paraId="7BCAD933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715B6">
        <w:rPr>
          <w:rFonts w:asciiTheme="majorHAnsi" w:hAnsiTheme="majorHAnsi" w:cstheme="majorHAnsi"/>
          <w:sz w:val="20"/>
          <w:szCs w:val="20"/>
        </w:rPr>
        <w:t xml:space="preserve">Safe Work Australia. (2019). Bullying: </w:t>
      </w:r>
      <w:hyperlink r:id="rId19" w:history="1">
        <w:r w:rsidRPr="00C715B6">
          <w:rPr>
            <w:rStyle w:val="Hyperlink"/>
            <w:rFonts w:asciiTheme="majorHAnsi" w:hAnsiTheme="majorHAnsi" w:cstheme="majorHAnsi"/>
            <w:sz w:val="20"/>
            <w:szCs w:val="20"/>
          </w:rPr>
          <w:t>https://www.safeworkaustralia.gov.au/bullying</w:t>
        </w:r>
      </w:hyperlink>
    </w:p>
    <w:p w14:paraId="2FFB7AEE" w14:textId="77777777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C715B6">
        <w:rPr>
          <w:rFonts w:asciiTheme="majorHAnsi" w:hAnsiTheme="majorHAnsi" w:cstheme="majorHAnsi"/>
          <w:i/>
          <w:sz w:val="20"/>
          <w:szCs w:val="20"/>
        </w:rPr>
        <w:t xml:space="preserve">Work Health and Safety Act 2011 </w:t>
      </w:r>
      <w:r w:rsidRPr="00C715B6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C715B6">
        <w:rPr>
          <w:rFonts w:asciiTheme="majorHAnsi" w:hAnsiTheme="majorHAnsi" w:cstheme="majorHAnsi"/>
          <w:sz w:val="20"/>
          <w:szCs w:val="20"/>
        </w:rPr>
        <w:t>Cth</w:t>
      </w:r>
      <w:proofErr w:type="spellEnd"/>
      <w:r w:rsidRPr="00C715B6">
        <w:rPr>
          <w:rFonts w:asciiTheme="majorHAnsi" w:hAnsiTheme="majorHAnsi" w:cstheme="majorHAnsi"/>
          <w:sz w:val="20"/>
          <w:szCs w:val="20"/>
        </w:rPr>
        <w:t>).</w:t>
      </w:r>
      <w:r w:rsidRPr="00C715B6">
        <w:rPr>
          <w:rFonts w:asciiTheme="majorHAnsi" w:hAnsiTheme="majorHAnsi" w:cstheme="majorHAnsi"/>
          <w:i/>
          <w:sz w:val="20"/>
          <w:szCs w:val="20"/>
        </w:rPr>
        <w:t xml:space="preserve">  </w:t>
      </w:r>
    </w:p>
    <w:p w14:paraId="5DA7CA9C" w14:textId="18591F58" w:rsidR="00C941B8" w:rsidRPr="00C715B6" w:rsidRDefault="00C941B8" w:rsidP="00C715B6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C715B6">
        <w:rPr>
          <w:rFonts w:asciiTheme="majorHAnsi" w:hAnsiTheme="majorHAnsi" w:cstheme="majorHAnsi"/>
          <w:i/>
          <w:sz w:val="20"/>
          <w:szCs w:val="20"/>
        </w:rPr>
        <w:t xml:space="preserve">Workplace Relations Act 1996 </w:t>
      </w:r>
      <w:r w:rsidRPr="00C715B6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C715B6">
        <w:rPr>
          <w:rFonts w:asciiTheme="majorHAnsi" w:hAnsiTheme="majorHAnsi" w:cstheme="majorHAnsi"/>
          <w:sz w:val="20"/>
          <w:szCs w:val="20"/>
        </w:rPr>
        <w:t>Cth</w:t>
      </w:r>
      <w:proofErr w:type="spellEnd"/>
      <w:r w:rsidRPr="00C715B6">
        <w:rPr>
          <w:rFonts w:asciiTheme="majorHAnsi" w:hAnsiTheme="majorHAnsi" w:cstheme="majorHAnsi"/>
          <w:sz w:val="20"/>
          <w:szCs w:val="20"/>
        </w:rPr>
        <w:t>).</w:t>
      </w:r>
    </w:p>
    <w:p w14:paraId="2E142F23" w14:textId="77777777" w:rsidR="00C941B8" w:rsidRPr="00C941B8" w:rsidRDefault="00C941B8" w:rsidP="00C941B8">
      <w:pPr>
        <w:spacing w:line="240" w:lineRule="auto"/>
        <w:rPr>
          <w:rFonts w:asciiTheme="majorHAnsi" w:hAnsiTheme="majorHAnsi" w:cstheme="majorHAnsi"/>
          <w:b/>
          <w:bCs/>
          <w:sz w:val="18"/>
          <w:szCs w:val="18"/>
          <w:highlight w:val="yellow"/>
        </w:rPr>
      </w:pPr>
    </w:p>
    <w:p w14:paraId="4806CA39" w14:textId="77777777" w:rsidR="00B93AA1" w:rsidRDefault="00B93AA1" w:rsidP="00954BF1">
      <w:pPr>
        <w:spacing w:line="360" w:lineRule="auto"/>
        <w:rPr>
          <w:rFonts w:cs="Arial"/>
          <w:sz w:val="24"/>
          <w:szCs w:val="24"/>
        </w:rPr>
      </w:pPr>
    </w:p>
    <w:p w14:paraId="66DC4785" w14:textId="77777777" w:rsidR="00B93AA1" w:rsidRDefault="00B93AA1" w:rsidP="00954BF1">
      <w:pPr>
        <w:spacing w:line="360" w:lineRule="auto"/>
        <w:rPr>
          <w:rFonts w:cs="Arial"/>
          <w:sz w:val="24"/>
          <w:szCs w:val="24"/>
        </w:rPr>
      </w:pPr>
    </w:p>
    <w:p w14:paraId="312C8A24" w14:textId="77777777" w:rsidR="00B93AA1" w:rsidRDefault="00B93AA1" w:rsidP="00954BF1">
      <w:pPr>
        <w:spacing w:line="360" w:lineRule="auto"/>
        <w:rPr>
          <w:rFonts w:cs="Arial"/>
          <w:sz w:val="24"/>
          <w:szCs w:val="24"/>
        </w:rPr>
      </w:pPr>
    </w:p>
    <w:p w14:paraId="1AAAFFDD" w14:textId="77777777" w:rsidR="00B93AA1" w:rsidRDefault="00B93AA1" w:rsidP="00954BF1">
      <w:pPr>
        <w:spacing w:line="360" w:lineRule="auto"/>
        <w:rPr>
          <w:rFonts w:cs="Arial"/>
          <w:sz w:val="24"/>
          <w:szCs w:val="24"/>
        </w:rPr>
      </w:pPr>
    </w:p>
    <w:p w14:paraId="396DF696" w14:textId="77777777" w:rsidR="00B93AA1" w:rsidRDefault="00B93AA1" w:rsidP="00954BF1">
      <w:pPr>
        <w:spacing w:line="360" w:lineRule="auto"/>
        <w:rPr>
          <w:rFonts w:cs="Arial"/>
          <w:sz w:val="24"/>
          <w:szCs w:val="24"/>
        </w:rPr>
      </w:pPr>
    </w:p>
    <w:p w14:paraId="6894FC42" w14:textId="2D2682A0" w:rsidR="00954BF1" w:rsidRPr="00672E16" w:rsidRDefault="00954BF1" w:rsidP="00954BF1">
      <w:pPr>
        <w:spacing w:line="36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lastRenderedPageBreak/>
        <w:t>REVIEW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235"/>
        <w:gridCol w:w="2126"/>
        <w:gridCol w:w="2374"/>
        <w:gridCol w:w="64"/>
        <w:gridCol w:w="2187"/>
      </w:tblGrid>
      <w:tr w:rsidR="00F46338" w:rsidRPr="00151775" w14:paraId="097AA678" w14:textId="77777777" w:rsidTr="00F46338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C68BE7B" w14:textId="6F0E156B" w:rsidR="00F46338" w:rsidRPr="009C4400" w:rsidRDefault="00F46338" w:rsidP="00F4633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5D1501">
              <w:rPr>
                <w:rFonts w:ascii="Calibri Light" w:hAnsi="Calibri Light"/>
                <w:color w:val="000000" w:themeColor="text1"/>
              </w:rPr>
              <w:t>POLICY REVIEWED BY: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603D96" w14:textId="4F8E24AB" w:rsidR="00F46338" w:rsidRDefault="005D1501" w:rsidP="00F463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Alisha De Groot</w:t>
            </w:r>
          </w:p>
        </w:tc>
        <w:tc>
          <w:tcPr>
            <w:tcW w:w="2438" w:type="dxa"/>
            <w:gridSpan w:val="2"/>
            <w:shd w:val="clear" w:color="auto" w:fill="FFFFFF" w:themeFill="background1"/>
            <w:vAlign w:val="center"/>
          </w:tcPr>
          <w:p w14:paraId="7C279993" w14:textId="3BC935F9" w:rsidR="00F46338" w:rsidRPr="009C4400" w:rsidRDefault="005D1501" w:rsidP="00F4633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163BA6CC" w14:textId="7304FE95" w:rsidR="00F46338" w:rsidRDefault="005D1501" w:rsidP="00F463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5.05.22</w:t>
            </w:r>
          </w:p>
        </w:tc>
      </w:tr>
      <w:tr w:rsidR="00954BF1" w:rsidRPr="00151775" w14:paraId="4DF07248" w14:textId="77777777" w:rsidTr="00F56633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69E5E92" w14:textId="77777777" w:rsidR="00954BF1" w:rsidRPr="009C4400" w:rsidRDefault="00954BF1" w:rsidP="00A8140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9EE4C5" w14:textId="4B46D709" w:rsidR="00954BF1" w:rsidRPr="009C4400" w:rsidRDefault="005D1501" w:rsidP="00A8140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 2022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0EBB62B0" w14:textId="77777777" w:rsidR="00954BF1" w:rsidRPr="009C4400" w:rsidRDefault="00954BF1" w:rsidP="00A8140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45C5BD00" w14:textId="76A243F1" w:rsidR="00954BF1" w:rsidRPr="00093E2D" w:rsidRDefault="005D1501" w:rsidP="00A81408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 2023</w:t>
            </w:r>
          </w:p>
        </w:tc>
      </w:tr>
      <w:tr w:rsidR="00954BF1" w14:paraId="3F679D1B" w14:textId="77777777" w:rsidTr="001262C3">
        <w:tc>
          <w:tcPr>
            <w:tcW w:w="2235" w:type="dxa"/>
            <w:vAlign w:val="center"/>
          </w:tcPr>
          <w:p w14:paraId="1C5D005C" w14:textId="195C84A8" w:rsidR="00954BF1" w:rsidRPr="005D1501" w:rsidRDefault="00B93AA1" w:rsidP="00A814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2022</w:t>
            </w:r>
          </w:p>
        </w:tc>
        <w:tc>
          <w:tcPr>
            <w:tcW w:w="6751" w:type="dxa"/>
            <w:gridSpan w:val="4"/>
            <w:vAlign w:val="center"/>
          </w:tcPr>
          <w:p w14:paraId="57E39FA1" w14:textId="77777777" w:rsidR="00C715B6" w:rsidRPr="005D1501" w:rsidRDefault="00C715B6" w:rsidP="00C715B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 w:rsidRPr="005D1501">
              <w:rPr>
                <w:rFonts w:asciiTheme="majorHAnsi" w:hAnsiTheme="majorHAnsi"/>
              </w:rPr>
              <w:t>addition of related procedure</w:t>
            </w:r>
          </w:p>
          <w:p w14:paraId="526FD168" w14:textId="77777777" w:rsidR="00C715B6" w:rsidRPr="005D1501" w:rsidRDefault="00C715B6" w:rsidP="00C715B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 w:rsidRPr="005D1501">
              <w:rPr>
                <w:rFonts w:asciiTheme="majorHAnsi" w:hAnsiTheme="majorHAnsi"/>
              </w:rPr>
              <w:t>sources checked for currency</w:t>
            </w:r>
          </w:p>
          <w:p w14:paraId="29F537BA" w14:textId="63A5C833" w:rsidR="00B97CFC" w:rsidRPr="005D1501" w:rsidRDefault="00B97CFC" w:rsidP="00B93AA1">
            <w:pPr>
              <w:pStyle w:val="ListParagraph"/>
              <w:ind w:left="360"/>
              <w:rPr>
                <w:rFonts w:ascii="Calibri Light" w:hAnsi="Calibri Light"/>
              </w:rPr>
            </w:pPr>
          </w:p>
        </w:tc>
      </w:tr>
      <w:tr w:rsidR="00954BF1" w14:paraId="29CF33AA" w14:textId="77777777" w:rsidTr="00A81408">
        <w:trPr>
          <w:trHeight w:val="61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0502FA0A" w14:textId="77777777" w:rsidR="00954BF1" w:rsidRDefault="00954BF1" w:rsidP="00A81408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4500" w:type="dxa"/>
            <w:gridSpan w:val="2"/>
            <w:shd w:val="clear" w:color="auto" w:fill="E7E6E6" w:themeFill="background2"/>
            <w:vAlign w:val="center"/>
          </w:tcPr>
          <w:p w14:paraId="5E3F1451" w14:textId="77777777" w:rsidR="00954BF1" w:rsidRPr="00552B14" w:rsidRDefault="00954BF1" w:rsidP="00A814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PREVIOUS MODIFICATIONS</w:t>
            </w:r>
          </w:p>
        </w:tc>
        <w:tc>
          <w:tcPr>
            <w:tcW w:w="2251" w:type="dxa"/>
            <w:gridSpan w:val="2"/>
            <w:shd w:val="clear" w:color="auto" w:fill="E7E6E6" w:themeFill="background2"/>
            <w:vAlign w:val="center"/>
          </w:tcPr>
          <w:p w14:paraId="34FB5A97" w14:textId="77777777" w:rsidR="00954BF1" w:rsidRPr="00552B14" w:rsidRDefault="00954BF1" w:rsidP="00A81408">
            <w:pPr>
              <w:rPr>
                <w:rFonts w:ascii="Calibri Light" w:hAnsi="Calibri Light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</w:tr>
      <w:tr w:rsidR="00C715B6" w14:paraId="3DBE0FA2" w14:textId="77777777" w:rsidTr="001F70E2">
        <w:trPr>
          <w:trHeight w:val="528"/>
        </w:trPr>
        <w:tc>
          <w:tcPr>
            <w:tcW w:w="2235" w:type="dxa"/>
            <w:vAlign w:val="center"/>
          </w:tcPr>
          <w:p w14:paraId="4B51A40D" w14:textId="2B7759CF" w:rsidR="00C715B6" w:rsidRDefault="00B93AA1" w:rsidP="00D04199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 2021</w:t>
            </w:r>
          </w:p>
        </w:tc>
        <w:tc>
          <w:tcPr>
            <w:tcW w:w="4500" w:type="dxa"/>
            <w:gridSpan w:val="2"/>
            <w:vAlign w:val="center"/>
          </w:tcPr>
          <w:p w14:paraId="160F6FDA" w14:textId="079E3F2A" w:rsidR="00C715B6" w:rsidRPr="00C715B6" w:rsidRDefault="00B93AA1" w:rsidP="000D3D32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New Policy developed</w:t>
            </w:r>
          </w:p>
        </w:tc>
        <w:tc>
          <w:tcPr>
            <w:tcW w:w="2251" w:type="dxa"/>
            <w:gridSpan w:val="2"/>
            <w:vAlign w:val="center"/>
          </w:tcPr>
          <w:p w14:paraId="6942AB9A" w14:textId="79C7EC8B" w:rsidR="00C715B6" w:rsidRDefault="00B93AA1" w:rsidP="00A814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2022</w:t>
            </w:r>
          </w:p>
        </w:tc>
      </w:tr>
    </w:tbl>
    <w:p w14:paraId="77E539D2" w14:textId="2E5062D5" w:rsidR="00D656E1" w:rsidRPr="002C4D32" w:rsidRDefault="00D656E1" w:rsidP="00B72B18">
      <w:pPr>
        <w:spacing w:line="360" w:lineRule="auto"/>
        <w:rPr>
          <w:rFonts w:asciiTheme="majorHAnsi" w:hAnsiTheme="majorHAnsi"/>
        </w:rPr>
      </w:pPr>
    </w:p>
    <w:sectPr w:rsidR="00D656E1" w:rsidRPr="002C4D32" w:rsidSect="00F852F9">
      <w:headerReference w:type="default" r:id="rId20"/>
      <w:footerReference w:type="even" r:id="rId21"/>
      <w:footerReference w:type="default" r:id="rId22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16F3" w14:textId="77777777" w:rsidR="0005566A" w:rsidRDefault="0005566A" w:rsidP="0021486F">
      <w:pPr>
        <w:spacing w:after="0" w:line="240" w:lineRule="auto"/>
      </w:pPr>
      <w:r>
        <w:separator/>
      </w:r>
    </w:p>
  </w:endnote>
  <w:endnote w:type="continuationSeparator" w:id="0">
    <w:p w14:paraId="3E5A2519" w14:textId="77777777" w:rsidR="0005566A" w:rsidRDefault="0005566A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416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0B9583" w14:textId="705152AA" w:rsidR="00EE409A" w:rsidRDefault="00EE409A" w:rsidP="00C757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4A1B0" w14:textId="77777777" w:rsidR="00EE409A" w:rsidRDefault="00EE409A" w:rsidP="00EE409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2319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444DA" w14:textId="1D0E047F" w:rsidR="00EE409A" w:rsidRDefault="00EE409A" w:rsidP="00C757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0EC6F1" w14:textId="274DF78B" w:rsidR="001C66CA" w:rsidRDefault="001C66CA" w:rsidP="00EE409A">
    <w:pPr>
      <w:pStyle w:val="Footer"/>
      <w:spacing w:before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40E5" w14:textId="77777777" w:rsidR="0005566A" w:rsidRDefault="0005566A" w:rsidP="0021486F">
      <w:pPr>
        <w:spacing w:after="0" w:line="240" w:lineRule="auto"/>
      </w:pPr>
      <w:r>
        <w:separator/>
      </w:r>
    </w:p>
  </w:footnote>
  <w:footnote w:type="continuationSeparator" w:id="0">
    <w:p w14:paraId="01D0F97A" w14:textId="77777777" w:rsidR="0005566A" w:rsidRDefault="0005566A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5E5" w14:textId="23BD6018" w:rsidR="001C66CA" w:rsidRDefault="005D1501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6A0DE3BE">
              <wp:simplePos x="0" y="0"/>
              <wp:positionH relativeFrom="column">
                <wp:posOffset>-304800</wp:posOffset>
              </wp:positionH>
              <wp:positionV relativeFrom="paragraph">
                <wp:posOffset>-221615</wp:posOffset>
              </wp:positionV>
              <wp:extent cx="3781425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780A741E" w:rsidR="001C66CA" w:rsidRPr="005D1501" w:rsidRDefault="005D1501" w:rsidP="00A07751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D1501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The Secret Garden Preschool Unanderra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45pt;width:297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" filled="f" stroked="f">
              <v:textbox>
                <w:txbxContent>
                  <w:p w14:paraId="32AB4840" w14:textId="780A741E" w:rsidR="001C66CA" w:rsidRPr="005D1501" w:rsidRDefault="005D1501" w:rsidP="00A07751">
                    <w:pPr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</w:pPr>
                    <w:r w:rsidRPr="005D1501"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  <w:t>The Secret Garden Preschool Unanderra</w:t>
                    </w:r>
                  </w:p>
                </w:txbxContent>
              </v:textbox>
            </v:shape>
          </w:pict>
        </mc:Fallback>
      </mc:AlternateContent>
    </w:r>
    <w:r w:rsidR="001C66C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21E4E921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1C66CA" w:rsidRPr="004A79B2" w:rsidRDefault="001C66CA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7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" fillcolor="red" stroked="f" strokeweight=".5pt">
              <v:textbox>
                <w:txbxContent>
                  <w:p w14:paraId="43E69882" w14:textId="77777777" w:rsidR="001C66CA" w:rsidRPr="004A79B2" w:rsidRDefault="001C66CA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1C66CA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3BBA3893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346" y="20644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1C66CA" w:rsidRPr="00865E0A" w:rsidRDefault="001C66CA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727EB8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" fillcolor="#00b050" stroked="f">
              <v:textbox>
                <w:txbxContent>
                  <w:p w14:paraId="36787074" w14:textId="77777777" w:rsidR="001C66CA" w:rsidRPr="00865E0A" w:rsidRDefault="001C66CA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E2278F"/>
    <w:multiLevelType w:val="hybridMultilevel"/>
    <w:tmpl w:val="B312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1690E"/>
    <w:multiLevelType w:val="hybridMultilevel"/>
    <w:tmpl w:val="1E18F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C1997"/>
    <w:multiLevelType w:val="hybridMultilevel"/>
    <w:tmpl w:val="D17E5BF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A04E26"/>
    <w:multiLevelType w:val="hybridMultilevel"/>
    <w:tmpl w:val="BBAC6A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9A6"/>
    <w:multiLevelType w:val="hybridMultilevel"/>
    <w:tmpl w:val="601ED01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32D81"/>
    <w:multiLevelType w:val="hybridMultilevel"/>
    <w:tmpl w:val="F5A4563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23886"/>
    <w:multiLevelType w:val="hybridMultilevel"/>
    <w:tmpl w:val="6B8AF2A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917CA"/>
    <w:multiLevelType w:val="hybridMultilevel"/>
    <w:tmpl w:val="8CF054E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A6538"/>
    <w:multiLevelType w:val="hybridMultilevel"/>
    <w:tmpl w:val="E354A34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F4780"/>
    <w:multiLevelType w:val="hybridMultilevel"/>
    <w:tmpl w:val="6E507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F0A94"/>
    <w:multiLevelType w:val="hybridMultilevel"/>
    <w:tmpl w:val="F674431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E95D7B"/>
    <w:multiLevelType w:val="hybridMultilevel"/>
    <w:tmpl w:val="E262666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376CF"/>
    <w:multiLevelType w:val="hybridMultilevel"/>
    <w:tmpl w:val="56EE3B84"/>
    <w:lvl w:ilvl="0" w:tplc="545260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80FE3"/>
    <w:multiLevelType w:val="hybridMultilevel"/>
    <w:tmpl w:val="4A90CAB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C96"/>
    <w:multiLevelType w:val="hybridMultilevel"/>
    <w:tmpl w:val="0A5CB0E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30A6D"/>
    <w:multiLevelType w:val="hybridMultilevel"/>
    <w:tmpl w:val="37E0EB5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63B20"/>
    <w:multiLevelType w:val="hybridMultilevel"/>
    <w:tmpl w:val="FEE430A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A5D65"/>
    <w:multiLevelType w:val="hybridMultilevel"/>
    <w:tmpl w:val="721C203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6481D"/>
    <w:multiLevelType w:val="hybridMultilevel"/>
    <w:tmpl w:val="9D9C192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30E50"/>
    <w:multiLevelType w:val="hybridMultilevel"/>
    <w:tmpl w:val="6BDC511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E6EF3"/>
    <w:multiLevelType w:val="hybridMultilevel"/>
    <w:tmpl w:val="EDA8E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BE35D71"/>
    <w:multiLevelType w:val="hybridMultilevel"/>
    <w:tmpl w:val="2124E23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B7DA5"/>
    <w:multiLevelType w:val="hybridMultilevel"/>
    <w:tmpl w:val="F4028A2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E6946"/>
    <w:multiLevelType w:val="hybridMultilevel"/>
    <w:tmpl w:val="E61C4C0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71C83"/>
    <w:multiLevelType w:val="hybridMultilevel"/>
    <w:tmpl w:val="937C8B7A"/>
    <w:lvl w:ilvl="0" w:tplc="BCF0D76A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260B0"/>
    <w:multiLevelType w:val="hybridMultilevel"/>
    <w:tmpl w:val="239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15C4"/>
    <w:multiLevelType w:val="hybridMultilevel"/>
    <w:tmpl w:val="4E66F308"/>
    <w:lvl w:ilvl="0" w:tplc="5BA658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52F2F"/>
    <w:multiLevelType w:val="hybridMultilevel"/>
    <w:tmpl w:val="24BCC9C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13D63"/>
    <w:multiLevelType w:val="hybridMultilevel"/>
    <w:tmpl w:val="99803AD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FA0985"/>
    <w:multiLevelType w:val="hybridMultilevel"/>
    <w:tmpl w:val="122A5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618F5"/>
    <w:multiLevelType w:val="hybridMultilevel"/>
    <w:tmpl w:val="40A4684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F4312C"/>
    <w:multiLevelType w:val="hybridMultilevel"/>
    <w:tmpl w:val="39D61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C6D3A"/>
    <w:multiLevelType w:val="hybridMultilevel"/>
    <w:tmpl w:val="455A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2278933">
    <w:abstractNumId w:val="23"/>
  </w:num>
  <w:num w:numId="2" w16cid:durableId="1175074673">
    <w:abstractNumId w:val="15"/>
  </w:num>
  <w:num w:numId="3" w16cid:durableId="294870914">
    <w:abstractNumId w:val="39"/>
  </w:num>
  <w:num w:numId="4" w16cid:durableId="1726177964">
    <w:abstractNumId w:val="37"/>
  </w:num>
  <w:num w:numId="5" w16cid:durableId="259920417">
    <w:abstractNumId w:val="24"/>
  </w:num>
  <w:num w:numId="6" w16cid:durableId="494422844">
    <w:abstractNumId w:val="12"/>
  </w:num>
  <w:num w:numId="7" w16cid:durableId="1996376094">
    <w:abstractNumId w:val="28"/>
  </w:num>
  <w:num w:numId="8" w16cid:durableId="1488551379">
    <w:abstractNumId w:val="9"/>
  </w:num>
  <w:num w:numId="9" w16cid:durableId="827474313">
    <w:abstractNumId w:val="36"/>
  </w:num>
  <w:num w:numId="10" w16cid:durableId="744913877">
    <w:abstractNumId w:val="8"/>
  </w:num>
  <w:num w:numId="11" w16cid:durableId="917323143">
    <w:abstractNumId w:val="20"/>
  </w:num>
  <w:num w:numId="12" w16cid:durableId="1222132804">
    <w:abstractNumId w:val="0"/>
  </w:num>
  <w:num w:numId="13" w16cid:durableId="588005257">
    <w:abstractNumId w:val="32"/>
  </w:num>
  <w:num w:numId="14" w16cid:durableId="1793162320">
    <w:abstractNumId w:val="17"/>
  </w:num>
  <w:num w:numId="15" w16cid:durableId="1797914982">
    <w:abstractNumId w:val="4"/>
  </w:num>
  <w:num w:numId="16" w16cid:durableId="1174610945">
    <w:abstractNumId w:val="25"/>
  </w:num>
  <w:num w:numId="17" w16cid:durableId="486940437">
    <w:abstractNumId w:val="10"/>
  </w:num>
  <w:num w:numId="18" w16cid:durableId="262346730">
    <w:abstractNumId w:val="14"/>
  </w:num>
  <w:num w:numId="19" w16cid:durableId="229510960">
    <w:abstractNumId w:val="18"/>
  </w:num>
  <w:num w:numId="20" w16cid:durableId="1340816726">
    <w:abstractNumId w:val="7"/>
  </w:num>
  <w:num w:numId="21" w16cid:durableId="1647082344">
    <w:abstractNumId w:val="29"/>
  </w:num>
  <w:num w:numId="22" w16cid:durableId="2015523520">
    <w:abstractNumId w:val="27"/>
  </w:num>
  <w:num w:numId="23" w16cid:durableId="1235579346">
    <w:abstractNumId w:val="30"/>
  </w:num>
  <w:num w:numId="24" w16cid:durableId="1062027242">
    <w:abstractNumId w:val="34"/>
  </w:num>
  <w:num w:numId="25" w16cid:durableId="465246835">
    <w:abstractNumId w:val="26"/>
  </w:num>
  <w:num w:numId="26" w16cid:durableId="373970701">
    <w:abstractNumId w:val="5"/>
  </w:num>
  <w:num w:numId="27" w16cid:durableId="699938103">
    <w:abstractNumId w:val="35"/>
  </w:num>
  <w:num w:numId="28" w16cid:durableId="1864979296">
    <w:abstractNumId w:val="22"/>
  </w:num>
  <w:num w:numId="29" w16cid:durableId="250554964">
    <w:abstractNumId w:val="31"/>
  </w:num>
  <w:num w:numId="30" w16cid:durableId="781265614">
    <w:abstractNumId w:val="41"/>
  </w:num>
  <w:num w:numId="31" w16cid:durableId="1496646598">
    <w:abstractNumId w:val="40"/>
  </w:num>
  <w:num w:numId="32" w16cid:durableId="116996834">
    <w:abstractNumId w:val="13"/>
  </w:num>
  <w:num w:numId="33" w16cid:durableId="770664453">
    <w:abstractNumId w:val="2"/>
  </w:num>
  <w:num w:numId="34" w16cid:durableId="451679447">
    <w:abstractNumId w:val="1"/>
  </w:num>
  <w:num w:numId="35" w16cid:durableId="1249119367">
    <w:abstractNumId w:val="38"/>
  </w:num>
  <w:num w:numId="36" w16cid:durableId="1608075997">
    <w:abstractNumId w:val="6"/>
  </w:num>
  <w:num w:numId="37" w16cid:durableId="1661496263">
    <w:abstractNumId w:val="33"/>
  </w:num>
  <w:num w:numId="38" w16cid:durableId="1548057737">
    <w:abstractNumId w:val="16"/>
  </w:num>
  <w:num w:numId="39" w16cid:durableId="433475985">
    <w:abstractNumId w:val="11"/>
  </w:num>
  <w:num w:numId="40" w16cid:durableId="819616833">
    <w:abstractNumId w:val="3"/>
  </w:num>
  <w:num w:numId="41" w16cid:durableId="473372218">
    <w:abstractNumId w:val="19"/>
  </w:num>
  <w:num w:numId="42" w16cid:durableId="72517719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34A58"/>
    <w:rsid w:val="0005566A"/>
    <w:rsid w:val="0005762D"/>
    <w:rsid w:val="0009019C"/>
    <w:rsid w:val="000B5720"/>
    <w:rsid w:val="000D3D32"/>
    <w:rsid w:val="001116BE"/>
    <w:rsid w:val="001262C3"/>
    <w:rsid w:val="0013625E"/>
    <w:rsid w:val="00136ABB"/>
    <w:rsid w:val="00151775"/>
    <w:rsid w:val="0016012B"/>
    <w:rsid w:val="00170CC9"/>
    <w:rsid w:val="00197509"/>
    <w:rsid w:val="001B42D4"/>
    <w:rsid w:val="001C66CA"/>
    <w:rsid w:val="001D1E2C"/>
    <w:rsid w:val="001F70E2"/>
    <w:rsid w:val="00201E0F"/>
    <w:rsid w:val="0021486F"/>
    <w:rsid w:val="00233657"/>
    <w:rsid w:val="00237C0D"/>
    <w:rsid w:val="00244E80"/>
    <w:rsid w:val="002C4D32"/>
    <w:rsid w:val="0032241B"/>
    <w:rsid w:val="0032350F"/>
    <w:rsid w:val="00344B89"/>
    <w:rsid w:val="0036669C"/>
    <w:rsid w:val="00366E8D"/>
    <w:rsid w:val="00384FE2"/>
    <w:rsid w:val="003A4132"/>
    <w:rsid w:val="003A4C16"/>
    <w:rsid w:val="003D6AF9"/>
    <w:rsid w:val="003F59E7"/>
    <w:rsid w:val="003F6504"/>
    <w:rsid w:val="004162A3"/>
    <w:rsid w:val="0042395E"/>
    <w:rsid w:val="00446DD8"/>
    <w:rsid w:val="0045799A"/>
    <w:rsid w:val="0047767B"/>
    <w:rsid w:val="004A79B2"/>
    <w:rsid w:val="004B1ABE"/>
    <w:rsid w:val="005504F7"/>
    <w:rsid w:val="005C5D1B"/>
    <w:rsid w:val="005D148A"/>
    <w:rsid w:val="005D1501"/>
    <w:rsid w:val="005D7F72"/>
    <w:rsid w:val="005F1D6D"/>
    <w:rsid w:val="005F6F48"/>
    <w:rsid w:val="006273D8"/>
    <w:rsid w:val="006453A8"/>
    <w:rsid w:val="00681008"/>
    <w:rsid w:val="00692BE2"/>
    <w:rsid w:val="006A01FF"/>
    <w:rsid w:val="006F1DCA"/>
    <w:rsid w:val="007345FF"/>
    <w:rsid w:val="00754AEB"/>
    <w:rsid w:val="007764EA"/>
    <w:rsid w:val="00781D83"/>
    <w:rsid w:val="007D4F01"/>
    <w:rsid w:val="007E1EE6"/>
    <w:rsid w:val="007F4D16"/>
    <w:rsid w:val="008145AF"/>
    <w:rsid w:val="008E6DC8"/>
    <w:rsid w:val="008F4F94"/>
    <w:rsid w:val="009042A1"/>
    <w:rsid w:val="009059BD"/>
    <w:rsid w:val="00910CA0"/>
    <w:rsid w:val="00954BF1"/>
    <w:rsid w:val="0098657E"/>
    <w:rsid w:val="009B6618"/>
    <w:rsid w:val="009C4400"/>
    <w:rsid w:val="009D4235"/>
    <w:rsid w:val="00A07751"/>
    <w:rsid w:val="00A26872"/>
    <w:rsid w:val="00A34AC1"/>
    <w:rsid w:val="00A450A9"/>
    <w:rsid w:val="00A7573F"/>
    <w:rsid w:val="00A81408"/>
    <w:rsid w:val="00A97992"/>
    <w:rsid w:val="00AA0860"/>
    <w:rsid w:val="00AA21B4"/>
    <w:rsid w:val="00AB1AA1"/>
    <w:rsid w:val="00AF6C03"/>
    <w:rsid w:val="00B51F53"/>
    <w:rsid w:val="00B70EE2"/>
    <w:rsid w:val="00B72B18"/>
    <w:rsid w:val="00B93AA1"/>
    <w:rsid w:val="00B97CFC"/>
    <w:rsid w:val="00BD01D0"/>
    <w:rsid w:val="00BF758C"/>
    <w:rsid w:val="00C07DA6"/>
    <w:rsid w:val="00C62D3B"/>
    <w:rsid w:val="00C715B6"/>
    <w:rsid w:val="00C941B8"/>
    <w:rsid w:val="00CC440D"/>
    <w:rsid w:val="00CC447C"/>
    <w:rsid w:val="00D00F97"/>
    <w:rsid w:val="00D04199"/>
    <w:rsid w:val="00D168BA"/>
    <w:rsid w:val="00D271F2"/>
    <w:rsid w:val="00D4010C"/>
    <w:rsid w:val="00D4338B"/>
    <w:rsid w:val="00D656E1"/>
    <w:rsid w:val="00D76176"/>
    <w:rsid w:val="00D97872"/>
    <w:rsid w:val="00DA671A"/>
    <w:rsid w:val="00DB2B22"/>
    <w:rsid w:val="00DC50C3"/>
    <w:rsid w:val="00E15F03"/>
    <w:rsid w:val="00E5094F"/>
    <w:rsid w:val="00EB0FC2"/>
    <w:rsid w:val="00EB7EE9"/>
    <w:rsid w:val="00EE409A"/>
    <w:rsid w:val="00EE597E"/>
    <w:rsid w:val="00EE7225"/>
    <w:rsid w:val="00F01B4D"/>
    <w:rsid w:val="00F235D4"/>
    <w:rsid w:val="00F34D49"/>
    <w:rsid w:val="00F46338"/>
    <w:rsid w:val="00F56633"/>
    <w:rsid w:val="00F5739C"/>
    <w:rsid w:val="00F83C27"/>
    <w:rsid w:val="00F852F9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35D38"/>
  <w15:docId w15:val="{26DDEBAA-21B7-8549-8AB3-58C0EBD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4F"/>
    <w:pPr>
      <w:keepNext/>
      <w:keepLines/>
      <w:numPr>
        <w:numId w:val="2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94F"/>
    <w:pPr>
      <w:keepNext/>
      <w:keepLines/>
      <w:numPr>
        <w:ilvl w:val="1"/>
        <w:numId w:val="2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94F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4F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4F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4F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4F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4F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4F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  <w:style w:type="paragraph" w:customStyle="1" w:styleId="BodyBullet">
    <w:name w:val="Body Bullet"/>
    <w:rsid w:val="003A41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68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94F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4F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4F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4F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C941B8"/>
    <w:pPr>
      <w:spacing w:after="0" w:line="240" w:lineRule="auto"/>
    </w:pPr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97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2004A01302" TargetMode="External"/><Relationship Id="rId13" Type="http://schemas.openxmlformats.org/officeDocument/2006/relationships/hyperlink" Target="https://raisingchildren.net.au/disability/disability-rights-the-law/law/anti-discrimination-laws" TargetMode="External"/><Relationship Id="rId18" Type="http://schemas.openxmlformats.org/officeDocument/2006/relationships/hyperlink" Target="https://www.lawcouncil.asn.au/policy-agenda/advancing-the-profession/equal-opportunities-in-the-law/bullying-and-harassment-in-the-workplac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arlychildhoodaustralia.org.au/our-publications/eca-code-ethics/code-of-ethics-core-principles/" TargetMode="External"/><Relationship Id="rId17" Type="http://schemas.openxmlformats.org/officeDocument/2006/relationships/hyperlink" Target="https://www.fairwork.gov.au/employee-entitlements/managing-performance-and-warn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irwork.gov.au/employee-entitlements/bullying-and-harass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C2004A028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umanrights.gov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gov.au/Series/C2004A00274" TargetMode="External"/><Relationship Id="rId19" Type="http://schemas.openxmlformats.org/officeDocument/2006/relationships/hyperlink" Target="https://www.safeworkaustralia.gov.au/bully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C2004A04426" TargetMode="External"/><Relationship Id="rId14" Type="http://schemas.openxmlformats.org/officeDocument/2006/relationships/hyperlink" Target="http://www.austlii.edu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28475-B711-9445-9A84-0CE4A96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Alisha DeGroot</cp:lastModifiedBy>
  <cp:revision>2</cp:revision>
  <dcterms:created xsi:type="dcterms:W3CDTF">2022-06-04T08:40:00Z</dcterms:created>
  <dcterms:modified xsi:type="dcterms:W3CDTF">2022-06-04T08:40:00Z</dcterms:modified>
</cp:coreProperties>
</file>